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left="0" w:leftChars="0" w:firstLine="0" w:firstLineChars="0"/>
        <w:jc w:val="center"/>
        <w:outlineLvl w:val="0"/>
        <w:rPr>
          <w:rFonts w:hint="default" w:ascii="宋体" w:hAnsi="宋体" w:cs="宋体"/>
          <w:b/>
          <w:bCs w:val="0"/>
          <w:color w:val="000000" w:themeColor="text1"/>
          <w:sz w:val="30"/>
          <w:szCs w:val="30"/>
          <w:highlight w:val="none"/>
          <w:lang w:val="en-US" w:eastAsia="zh-CN"/>
          <w14:textFill>
            <w14:solidFill>
              <w14:schemeClr w14:val="tx1"/>
            </w14:solidFill>
          </w14:textFill>
        </w:rPr>
      </w:pPr>
      <w:r>
        <w:rPr>
          <w:rFonts w:hint="eastAsia" w:ascii="宋体" w:hAnsi="宋体" w:cs="宋体"/>
          <w:b/>
          <w:bCs w:val="0"/>
          <w:color w:val="000000" w:themeColor="text1"/>
          <w:sz w:val="30"/>
          <w:szCs w:val="30"/>
          <w:highlight w:val="none"/>
          <w:lang w:val="en-US" w:eastAsia="zh-CN"/>
          <w14:textFill>
            <w14:solidFill>
              <w14:schemeClr w14:val="tx1"/>
            </w14:solidFill>
          </w14:textFill>
        </w:rPr>
        <w:t>采购需求</w:t>
      </w:r>
    </w:p>
    <w:p>
      <w:pPr>
        <w:spacing w:line="360" w:lineRule="auto"/>
        <w:ind w:firstLine="482" w:firstLineChars="200"/>
        <w:rPr>
          <w:rFonts w:hint="default" w:ascii="宋体" w:hAnsi="宋体" w:eastAsia="宋体"/>
          <w:sz w:val="24"/>
          <w:szCs w:val="24"/>
          <w:highlight w:val="red"/>
          <w:u w:val="single"/>
          <w:lang w:val="en-US" w:eastAsia="zh-CN"/>
        </w:rPr>
      </w:pPr>
      <w:r>
        <w:rPr>
          <w:rFonts w:hint="eastAsia"/>
          <w:b/>
          <w:bCs/>
          <w:color w:val="000000" w:themeColor="text1"/>
          <w:sz w:val="24"/>
          <w:szCs w:val="24"/>
          <w:highlight w:val="none"/>
          <w:lang w:val="en-US" w:eastAsia="zh-CN"/>
          <w14:textFill>
            <w14:solidFill>
              <w14:schemeClr w14:val="tx1"/>
            </w14:solidFill>
          </w14:textFill>
        </w:rPr>
        <w:t>本项目采购标的的所属行业：</w:t>
      </w:r>
      <w:r>
        <w:rPr>
          <w:rFonts w:hint="default"/>
          <w:b/>
          <w:bCs/>
          <w:color w:val="000000" w:themeColor="text1"/>
          <w:sz w:val="24"/>
          <w:szCs w:val="24"/>
          <w:highlight w:val="none"/>
          <w:u w:val="single"/>
          <w:lang w:val="en-US" w:eastAsia="zh-CN"/>
          <w14:textFill>
            <w14:solidFill>
              <w14:schemeClr w14:val="tx1"/>
            </w14:solidFill>
          </w14:textFill>
        </w:rPr>
        <w:t>_</w:t>
      </w:r>
      <w:r>
        <w:rPr>
          <w:rFonts w:hint="eastAsia" w:ascii="宋体" w:hAnsi="宋体"/>
          <w:sz w:val="24"/>
          <w:szCs w:val="24"/>
          <w:highlight w:val="none"/>
          <w:u w:val="single"/>
          <w:lang w:val="en-US" w:eastAsia="zh-CN"/>
        </w:rPr>
        <w:t>软件与信息技术服务业</w:t>
      </w:r>
    </w:p>
    <w:p>
      <w:pPr>
        <w:spacing w:line="360" w:lineRule="auto"/>
        <w:ind w:firstLine="422" w:firstLineChars="200"/>
        <w:rPr>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一、</w:t>
      </w:r>
      <w:r>
        <w:rPr>
          <w:rFonts w:hint="eastAsia" w:ascii="宋体" w:hAnsi="宋体"/>
          <w:b/>
          <w:bCs/>
          <w:color w:val="000000" w:themeColor="text1"/>
          <w:szCs w:val="21"/>
          <w:highlight w:val="none"/>
          <w:lang w:eastAsia="zh-CN"/>
          <w14:textFill>
            <w14:solidFill>
              <w14:schemeClr w14:val="tx1"/>
            </w14:solidFill>
          </w14:textFill>
        </w:rPr>
        <w:t>商务要求</w:t>
      </w:r>
      <w:r>
        <w:rPr>
          <w:rFonts w:hint="eastAsia" w:ascii="宋体" w:hAnsi="宋体"/>
          <w:b/>
          <w:bCs/>
          <w:color w:val="000000" w:themeColor="text1"/>
          <w:szCs w:val="21"/>
          <w:highlight w:val="none"/>
          <w14:textFill>
            <w14:solidFill>
              <w14:schemeClr w14:val="tx1"/>
            </w14:solidFill>
          </w14:textFill>
        </w:rPr>
        <w:t>：</w:t>
      </w:r>
    </w:p>
    <w:tbl>
      <w:tblPr>
        <w:tblStyle w:val="4"/>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052"/>
        <w:gridCol w:w="5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pPr>
              <w:pStyle w:val="3"/>
              <w:jc w:val="center"/>
              <w:rPr>
                <w:rFonts w:cs="Wingdings" w:asciiTheme="minorEastAsia" w:hAnsiTheme="minorEastAsia"/>
                <w:b/>
                <w:color w:val="000000" w:themeColor="text1"/>
                <w:sz w:val="24"/>
                <w:highlight w:val="none"/>
                <w14:textFill>
                  <w14:solidFill>
                    <w14:schemeClr w14:val="tx1"/>
                  </w14:solidFill>
                </w14:textFill>
              </w:rPr>
            </w:pPr>
            <w:r>
              <w:rPr>
                <w:rFonts w:hint="eastAsia" w:cs="Wingdings" w:asciiTheme="minorEastAsia" w:hAnsiTheme="minorEastAsia"/>
                <w:b/>
                <w:color w:val="000000" w:themeColor="text1"/>
                <w:sz w:val="24"/>
                <w:highlight w:val="none"/>
                <w14:textFill>
                  <w14:solidFill>
                    <w14:schemeClr w14:val="tx1"/>
                  </w14:solidFill>
                </w14:textFill>
              </w:rPr>
              <w:t>序号</w:t>
            </w:r>
          </w:p>
        </w:tc>
        <w:tc>
          <w:tcPr>
            <w:tcW w:w="2052" w:type="dxa"/>
            <w:vAlign w:val="center"/>
          </w:tcPr>
          <w:p>
            <w:pPr>
              <w:pStyle w:val="3"/>
              <w:jc w:val="center"/>
              <w:rPr>
                <w:color w:val="000000" w:themeColor="text1"/>
                <w:highlight w:val="none"/>
                <w14:textFill>
                  <w14:solidFill>
                    <w14:schemeClr w14:val="tx1"/>
                  </w14:solidFill>
                </w14:textFill>
              </w:rPr>
            </w:pPr>
            <w:r>
              <w:rPr>
                <w:rFonts w:hint="eastAsia" w:asciiTheme="minorEastAsia" w:hAnsiTheme="minorEastAsia"/>
                <w:b/>
                <w:bCs/>
                <w:color w:val="000000" w:themeColor="text1"/>
                <w:sz w:val="24"/>
                <w:szCs w:val="24"/>
                <w:highlight w:val="none"/>
                <w14:textFill>
                  <w14:solidFill>
                    <w14:schemeClr w14:val="tx1"/>
                  </w14:solidFill>
                </w14:textFill>
              </w:rPr>
              <w:t>条款名称</w:t>
            </w:r>
          </w:p>
        </w:tc>
        <w:tc>
          <w:tcPr>
            <w:tcW w:w="5509" w:type="dxa"/>
            <w:vAlign w:val="center"/>
          </w:tcPr>
          <w:p>
            <w:pPr>
              <w:pStyle w:val="3"/>
              <w:jc w:val="center"/>
              <w:rPr>
                <w:rFonts w:cs="Wingdings" w:asciiTheme="minorEastAsia" w:hAnsiTheme="minorEastAsia"/>
                <w:b/>
                <w:color w:val="000000" w:themeColor="text1"/>
                <w:sz w:val="24"/>
                <w:highlight w:val="none"/>
                <w14:textFill>
                  <w14:solidFill>
                    <w14:schemeClr w14:val="tx1"/>
                  </w14:solidFill>
                </w14:textFill>
              </w:rPr>
            </w:pPr>
            <w:r>
              <w:rPr>
                <w:rFonts w:hint="eastAsia" w:cs="Wingdings" w:asciiTheme="minorEastAsia" w:hAnsiTheme="minorEastAsia"/>
                <w:b/>
                <w:color w:val="000000" w:themeColor="text1"/>
                <w:sz w:val="24"/>
                <w:highlight w:val="none"/>
                <w14:textFill>
                  <w14:solidFill>
                    <w14:schemeClr w14:val="tx1"/>
                  </w14:solidFill>
                </w14:textFill>
              </w:rPr>
              <w:t>具体要求内容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4" w:hRule="atLeast"/>
          <w:jc w:val="center"/>
        </w:trPr>
        <w:tc>
          <w:tcPr>
            <w:tcW w:w="808"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w:t>
            </w:r>
          </w:p>
        </w:tc>
        <w:tc>
          <w:tcPr>
            <w:tcW w:w="2052" w:type="dxa"/>
            <w:vAlign w:val="center"/>
          </w:tcPr>
          <w:p>
            <w:pPr>
              <w:ind w:firstLine="420" w:firstLineChars="200"/>
              <w:jc w:val="both"/>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付款方式</w:t>
            </w:r>
          </w:p>
        </w:tc>
        <w:tc>
          <w:tcPr>
            <w:tcW w:w="5509" w:type="dxa"/>
            <w:vAlign w:val="center"/>
          </w:tcPr>
          <w:p>
            <w:pPr>
              <w:spacing w:line="360" w:lineRule="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工程完工后并出具检测报告后支付合同价的 50％，工程竣工验收合格后支付至合同价的 70％，剩余款项待工程竣工结算审计结束后一次性付清。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jc w:val="center"/>
        </w:trPr>
        <w:tc>
          <w:tcPr>
            <w:tcW w:w="808"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w:t>
            </w:r>
          </w:p>
        </w:tc>
        <w:tc>
          <w:tcPr>
            <w:tcW w:w="2052"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地点</w:t>
            </w:r>
          </w:p>
        </w:tc>
        <w:tc>
          <w:tcPr>
            <w:tcW w:w="5509" w:type="dxa"/>
            <w:vAlign w:val="center"/>
          </w:tcPr>
          <w:p>
            <w:pPr>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潜山市立医院新区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jc w:val="center"/>
        </w:trPr>
        <w:tc>
          <w:tcPr>
            <w:tcW w:w="808" w:type="dxa"/>
            <w:vAlign w:val="center"/>
          </w:tcPr>
          <w:p>
            <w:pPr>
              <w:spacing w:line="360" w:lineRule="auto"/>
              <w:ind w:firstLine="422" w:firstLineChars="200"/>
              <w:rPr>
                <w:rFonts w:hint="eastAsia"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3</w:t>
            </w:r>
          </w:p>
        </w:tc>
        <w:tc>
          <w:tcPr>
            <w:tcW w:w="2052" w:type="dxa"/>
            <w:vAlign w:val="center"/>
          </w:tcPr>
          <w:p>
            <w:pPr>
              <w:spacing w:line="360" w:lineRule="auto"/>
              <w:ind w:firstLine="422" w:firstLineChars="200"/>
              <w:rPr>
                <w:rFonts w:hint="eastAsia"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lang w:eastAsia="zh-CN"/>
                <w14:textFill>
                  <w14:solidFill>
                    <w14:schemeClr w14:val="tx1"/>
                  </w14:solidFill>
                </w14:textFill>
              </w:rPr>
              <w:t>服务</w:t>
            </w:r>
            <w:r>
              <w:rPr>
                <w:rFonts w:hint="eastAsia" w:ascii="宋体" w:hAnsi="宋体" w:cs="Times New Roman"/>
                <w:b/>
                <w:bCs/>
                <w:color w:val="000000" w:themeColor="text1"/>
                <w:szCs w:val="21"/>
                <w:highlight w:val="none"/>
                <w14:textFill>
                  <w14:solidFill>
                    <w14:schemeClr w14:val="tx1"/>
                  </w14:solidFill>
                </w14:textFill>
              </w:rPr>
              <w:t>期限</w:t>
            </w:r>
          </w:p>
        </w:tc>
        <w:tc>
          <w:tcPr>
            <w:tcW w:w="5509" w:type="dxa"/>
            <w:vAlign w:val="center"/>
          </w:tcPr>
          <w:p>
            <w:pPr>
              <w:spacing w:line="360" w:lineRule="auto"/>
              <w:ind w:firstLine="422" w:firstLineChars="200"/>
              <w:rPr>
                <w:rFonts w:hint="eastAsia"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自合同签订之日起至信息化建设项目验收合格。</w:t>
            </w:r>
          </w:p>
        </w:tc>
      </w:tr>
    </w:tbl>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二、项目概况</w:t>
      </w:r>
    </w:p>
    <w:p>
      <w:pPr>
        <w:spacing w:line="360" w:lineRule="auto"/>
        <w:ind w:firstLine="420" w:firstLineChars="200"/>
        <w:rPr>
          <w:rFonts w:hint="eastAsia" w:ascii="宋体" w:hAnsi="宋体" w:eastAsia="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eastAsia="宋体" w:cs="Times New Roman"/>
          <w:b w:val="0"/>
          <w:bCs w:val="0"/>
          <w:color w:val="000000" w:themeColor="text1"/>
          <w:szCs w:val="21"/>
          <w:highlight w:val="none"/>
          <w:lang w:val="en-US" w:eastAsia="zh-CN"/>
          <w14:textFill>
            <w14:solidFill>
              <w14:schemeClr w14:val="tx1"/>
            </w14:solidFill>
          </w14:textFill>
        </w:rPr>
        <w:t>潜山市立医院综合服务能力提升工程</w:t>
      </w:r>
      <w:r>
        <w:rPr>
          <w:rFonts w:hint="eastAsia" w:ascii="宋体" w:hAnsi="宋体" w:cs="Times New Roman"/>
          <w:b w:val="0"/>
          <w:bCs w:val="0"/>
          <w:color w:val="000000" w:themeColor="text1"/>
          <w:szCs w:val="21"/>
          <w:highlight w:val="none"/>
          <w:lang w:val="en-US" w:eastAsia="zh-CN"/>
          <w14:textFill>
            <w14:solidFill>
              <w14:schemeClr w14:val="tx1"/>
            </w14:solidFill>
          </w14:textFill>
        </w:rPr>
        <w:t>（</w:t>
      </w:r>
      <w:r>
        <w:rPr>
          <w:rFonts w:hint="eastAsia" w:ascii="宋体" w:hAnsi="宋体" w:eastAsia="宋体" w:cs="Times New Roman"/>
          <w:b w:val="0"/>
          <w:bCs w:val="0"/>
          <w:color w:val="000000" w:themeColor="text1"/>
          <w:szCs w:val="21"/>
          <w:highlight w:val="none"/>
          <w:lang w:val="en-US" w:eastAsia="zh-CN"/>
          <w14:textFill>
            <w14:solidFill>
              <w14:schemeClr w14:val="tx1"/>
            </w14:solidFill>
          </w14:textFill>
        </w:rPr>
        <w:t>潜山市立医院新区信息化系统建设项目)应用系统建设包括：医院临床服务、医疗管理、医院信息集成平台、医技类系统、前置审方、医保支付改革系统、医院数据中心、运营决策分析系统（BI）、临床决策支持系统（CDSS）、便民服务体系、HRP、单病种质量管理系统、评审辅助管理系统、CA认证管理系统等系统。</w:t>
      </w:r>
      <w:r>
        <w:rPr>
          <w:rFonts w:hint="eastAsia" w:ascii="宋体" w:hAnsi="宋体" w:cs="Times New Roman"/>
          <w:b w:val="0"/>
          <w:bCs w:val="0"/>
          <w:color w:val="000000" w:themeColor="text1"/>
          <w:szCs w:val="21"/>
          <w:highlight w:val="none"/>
          <w:lang w:val="en-US" w:eastAsia="zh-CN"/>
          <w14:textFill>
            <w14:solidFill>
              <w14:schemeClr w14:val="tx1"/>
            </w14:solidFill>
          </w14:textFill>
        </w:rPr>
        <w:t>信息化建设项目</w:t>
      </w:r>
      <w:r>
        <w:rPr>
          <w:rFonts w:hint="eastAsia" w:ascii="宋体" w:hAnsi="宋体" w:eastAsia="宋体" w:cs="Times New Roman"/>
          <w:b w:val="0"/>
          <w:bCs w:val="0"/>
          <w:color w:val="000000" w:themeColor="text1"/>
          <w:szCs w:val="21"/>
          <w:highlight w:val="none"/>
          <w:lang w:val="en-US" w:eastAsia="zh-CN"/>
          <w14:textFill>
            <w14:solidFill>
              <w14:schemeClr w14:val="tx1"/>
            </w14:solidFill>
          </w14:textFill>
        </w:rPr>
        <w:t>总投资预算约3000万元。</w:t>
      </w:r>
    </w:p>
    <w:p>
      <w:pPr>
        <w:spacing w:line="360" w:lineRule="auto"/>
        <w:ind w:firstLine="420" w:firstLineChars="200"/>
        <w:rPr>
          <w:rFonts w:hint="default"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本次第三方测评服务费最高投标限价为200000.00元，各投标人投标报价不得高于最高投标限价。</w:t>
      </w:r>
    </w:p>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bookmarkStart w:id="0" w:name="bookmark183"/>
      <w:bookmarkEnd w:id="0"/>
      <w:bookmarkStart w:id="1" w:name="bookmark181"/>
      <w:bookmarkEnd w:id="1"/>
      <w:bookmarkStart w:id="2" w:name="bookmark182"/>
      <w:bookmarkEnd w:id="2"/>
      <w:bookmarkStart w:id="3" w:name="bookmark184"/>
      <w:bookmarkEnd w:id="3"/>
      <w:r>
        <w:rPr>
          <w:rFonts w:hint="eastAsia" w:ascii="宋体" w:hAnsi="宋体" w:cs="Times New Roman"/>
          <w:b/>
          <w:bCs/>
          <w:color w:val="000000" w:themeColor="text1"/>
          <w:szCs w:val="21"/>
          <w:highlight w:val="none"/>
          <w:lang w:val="en-US" w:eastAsia="zh-CN"/>
          <w14:textFill>
            <w14:solidFill>
              <w14:schemeClr w14:val="tx1"/>
            </w14:solidFill>
          </w14:textFill>
        </w:rPr>
        <w:t>三、服务需求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1、服务需求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针对潜山市立医院综合服务能力提升工程潜山市立医院新区信息化建设项目第三方测评所涉及应用软件内容提供第三方测评服务，评估项目的完成情况，客观公正评测项目是否满足原招标文件、项目合同以及设计方案的要求，验证系统中的功能相关特性、性能、安全性、可靠性、兼容性、易用性是否达到建设目标，最终形成项目的验收评测报告，作为该项目验收的依据。</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2、测评需求</w: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begin"/>
      </w:r>
      <w:r>
        <w:rPr>
          <w:rFonts w:hint="eastAsia" w:ascii="宋体" w:hAnsi="宋体" w:cs="Times New Roman"/>
          <w:b w:val="0"/>
          <w:bCs w:val="0"/>
          <w:color w:val="000000" w:themeColor="text1"/>
          <w:szCs w:val="21"/>
          <w:highlight w:val="none"/>
          <w:lang w:val="en-US" w:eastAsia="zh-CN"/>
          <w14:textFill>
            <w14:solidFill>
              <w14:schemeClr w14:val="tx1"/>
            </w14:solidFill>
          </w14:textFill>
        </w:rPr>
        <w:instrText xml:space="preserve"> HYPERLINK "2.2.2.1" </w:instrTex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separate"/>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2.1</w: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end"/>
      </w: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 评测依据</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系统的评测需遵守国家现行的规范与标准，对我国未制定的规范，可参照对应的国际标准执行。</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测评工作依据至少包括但不局限于：</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1）采购人与承建单位签订的承包工程合同；</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2）与系统相关的技术资料；</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3）GB/T 25000.51-2016《系统与软件工程 系统与软件质量要求和评价（SQuaRE）第51部分：就绪可用软件产品（RUSP）的质量要求和测试细则》；</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4）国家、地方及行业相关的技术标准。</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begin"/>
      </w:r>
      <w:r>
        <w:rPr>
          <w:rFonts w:hint="eastAsia" w:ascii="宋体" w:hAnsi="宋体" w:cs="Times New Roman"/>
          <w:b w:val="0"/>
          <w:bCs w:val="0"/>
          <w:color w:val="000000" w:themeColor="text1"/>
          <w:szCs w:val="21"/>
          <w:highlight w:val="none"/>
          <w:lang w:val="en-US" w:eastAsia="zh-CN"/>
          <w14:textFill>
            <w14:solidFill>
              <w14:schemeClr w14:val="tx1"/>
            </w14:solidFill>
          </w14:textFill>
        </w:rPr>
        <w:instrText xml:space="preserve"> HYPERLINK "2.2.2.2" </w:instrTex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separate"/>
      </w:r>
      <w:r>
        <w:rPr>
          <w:rFonts w:hint="eastAsia" w:ascii="宋体" w:hAnsi="宋体" w:cs="Times New Roman"/>
          <w:b w:val="0"/>
          <w:bCs w:val="0"/>
          <w:color w:val="000000" w:themeColor="text1"/>
          <w:szCs w:val="21"/>
          <w:highlight w:val="none"/>
          <w:lang w:val="en-US" w:eastAsia="zh-CN"/>
          <w14:textFill>
            <w14:solidFill>
              <w14:schemeClr w14:val="tx1"/>
            </w14:solidFill>
          </w14:textFill>
        </w:rPr>
        <w:t>2.2</w: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end"/>
      </w: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 工作要求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1.质量要求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1)测试报告内容及数据应准确、完整、客观、公正；</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2)测试服务质量应符合评测规范中的相关要求，且技术评测结果及报告必须提交最终用户确认。</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2.评测任务</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围绕评测工作目标，供应商需完成的任务包括但不限于：</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（1）编写测试方案，对项目测试内容进行阐述，并提出项目对应的测试通过准则及测试实施计划。</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（2）开展基础的系统检测，提供测试和质量保证服务， 根据系统的需求及业务功 能特点，对各数据进行检测，对标准进行校验及对应用系统各软件进行功能测试；根 据系统的性能的要求，对系统进行性能测试，验证系统的运行性能否满足预定指标，是否可提供稳定、可靠的服务；根据系统对安全性的要求，对系统进行代码审计检测，验证系统代码能够满足预定指标。</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（3）完成项目的验收测试工作后，根据测试情况，出具验收评测报告。</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begin"/>
      </w:r>
      <w:r>
        <w:rPr>
          <w:rFonts w:hint="eastAsia" w:ascii="宋体" w:hAnsi="宋体" w:cs="Times New Roman"/>
          <w:b w:val="0"/>
          <w:bCs w:val="0"/>
          <w:color w:val="000000" w:themeColor="text1"/>
          <w:szCs w:val="21"/>
          <w:highlight w:val="none"/>
          <w:lang w:val="en-US" w:eastAsia="zh-CN"/>
          <w14:textFill>
            <w14:solidFill>
              <w14:schemeClr w14:val="tx1"/>
            </w14:solidFill>
          </w14:textFill>
        </w:rPr>
        <w:instrText xml:space="preserve"> HYPERLINK "2.2.2.3" </w:instrTex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separate"/>
      </w:r>
      <w:r>
        <w:rPr>
          <w:rFonts w:hint="eastAsia" w:ascii="宋体" w:hAnsi="宋体" w:cs="Times New Roman"/>
          <w:b w:val="0"/>
          <w:bCs w:val="0"/>
          <w:color w:val="000000" w:themeColor="text1"/>
          <w:szCs w:val="21"/>
          <w:highlight w:val="none"/>
          <w:lang w:val="en-US" w:eastAsia="zh-CN"/>
          <w14:textFill>
            <w14:solidFill>
              <w14:schemeClr w14:val="tx1"/>
            </w14:solidFill>
          </w14:textFill>
        </w:rPr>
        <w:t>3</w:t>
      </w:r>
      <w:r>
        <w:rPr>
          <w:rFonts w:hint="eastAsia" w:ascii="宋体" w:hAnsi="宋体" w:cs="Times New Roman"/>
          <w:b w:val="0"/>
          <w:bCs w:val="0"/>
          <w:color w:val="000000" w:themeColor="text1"/>
          <w:szCs w:val="21"/>
          <w:highlight w:val="none"/>
          <w:lang w:val="en-US" w:eastAsia="zh-CN"/>
          <w14:textFill>
            <w14:solidFill>
              <w14:schemeClr w14:val="tx1"/>
            </w14:solidFill>
          </w14:textFill>
        </w:rPr>
        <w:fldChar w:fldCharType="end"/>
      </w:r>
      <w:r>
        <w:rPr>
          <w:rFonts w:hint="eastAsia" w:ascii="宋体" w:hAnsi="宋体" w:cs="Times New Roman"/>
          <w:b w:val="0"/>
          <w:bCs w:val="0"/>
          <w:color w:val="000000" w:themeColor="text1"/>
          <w:szCs w:val="21"/>
          <w:highlight w:val="none"/>
          <w:lang w:val="en-US" w:eastAsia="zh-CN"/>
          <w14:textFill>
            <w14:solidFill>
              <w14:schemeClr w14:val="tx1"/>
            </w14:solidFill>
          </w14:textFill>
        </w:rPr>
        <w:t>.评测内容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在承建方完成组件开发、集成工作后，参照系统功能设计，根据软件开发模型的不同，采用符合实际的方法对系统进行系统测试，验证指定的需求是否已经满足；</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总体开发完成后，进行验收测试，即确认提供的产品完全达到了预期的用途，对软件进行评价以证实它是否和软件需求相一致；对于测试中发现的问题，承建方整改后，检测机构需要进行回归测试，在修改缺陷后验证是否有新的缺陷引入。</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软件部分测评工作具体内容包括但不限于：</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4.功能测试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功能评测要求成交供应商依据原招标文件和投标文件 中的技术要求，并结合用户对系统建设的整体功能方向，对系统涉及到的所有业务逻辑、功能逻辑、功能项的全覆盖评测。包含但不限于以下内容：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适合性：系统为制定的任务和用户目标提供一组核实的功能的能力。</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准确性：系统提供具有所需精度的正确或相符的结果或效果的能力。</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互操作性：系统与一个或更多的规定系统进行交互的能力。</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一致性：系统功能及数据实现与用户文档相互符合的能力。</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4.1 性能测试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性能评测要求成交供应商通过站在用户体验的角度，使用专业的负载生成设备，在性能模型的基础上验证系统是否能够达到用户提出的性能指标，是否符合用户文档 中对系统设计时的性能关注点。在系统正常交互量及峰值交互量的情况下发现系统中存在的性能瓶颈，优化软件，最后达到优化系统的目的。包含但不限于以下内容：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并发数：选择典型业务，调研系统最大并发数据，进行并发测试。时间特性：在达到并发或吞吐量的指标后，系统还必须让最终用户能够及时完成他们的任务。响应时间为主要考核指标，响应时间=网络响应时间+应用处理时间。</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资源利用性：在规定条件下，软件产品执行其功能时，使用合适数量和类别的资源的能力。</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吞吐量：对于交互式应用来说，吞吐量指标反映的是服务器承受的压力。在容量 规划的测试中，吞吐量是一个重要关注的指标，因为它能够说明系统级别的负载能力；另外在性能调优的过程中，吞吐量指标也是重要的价值。</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4.2安全性测试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通过安全机制检查列表对系统进行安全机制检查，并对系统进行漏洞扫描测试。包含但不限于以下内容：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身份认证：系统应具有身份认证功能，具有登结束会话以及限制登录次数功能等；</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安全审计：必须记录应用系统的安全相关事件，必须记录重要用户行为和重要系 统功能执行状态；必须记录操作时间，类型，事件结果等和安全审计记录必须受到保护，防止遭到篡改和覆盖；</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资源控制：应用系统应支持单个用户的会话限制和应支持对特定用户，ip 的会话限制；</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数据安全：应用系统支持防止对未认证用户的访问；应用系统支持防止认证用户对未授权数据的访问；</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漏洞扫描检查方面：主要包括 HTTP 响应分割、LDAP 注入、SQAP 数组滥用、SQL 注入、SSI 注入、URL 重定向器滥用、XML 实体扩展、XML 外部实体、XML 属性放大、Xpath 注入、不安全索引、操作系统命令等检查。</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软件容错方面：应提供数据有效性检验功能，保证通过人机接口输入或通过通信 接口输入的数据格式或长度符合系统设定要求；应提供自动保护功能，当故障发生时自动保护当前所有状态，保证系统能够进行恢复。</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4.3 可靠性测试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成交供应商在验收前组织开展可靠性测试或可靠性评估，根据软件系统可靠性结构（单元与系统间可靠性关系)、寿命类型和各单元的可靠性试验信息，利用概率统计方法，评估出系统的可靠性特征量。软件可靠性是软件系统在规定的时间内以及规定的环境条件下，完成规定功能的能力。可靠性测试包括以下三方面：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成熟性：测试评估系统由于软件故障引起失效的频度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容错性：在出现软件故障的情况下，测试评估系统维持规定性能的容错能力。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易恢复性：在失效发生的情况下，测试系统重建规定的性能级别并恢复受直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接影响的数据的能力。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4.4易用性测试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成交供应商评估系统是否易于理解、学习和使用。对系统的易用性测试包括以下三个方面：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易理解性：评估用户是否能够迅速理解系统并能将系统用于特定任务和使用环境。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易学性：评估对于未接触过该类系统的新用户，系统是否易于学习和掌握。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易操作性：评估系统界面设计是否科学合理，操作是否简单。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4.5文档测试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文档是系统的非软件部分，经常会被忽略。同时文档也是系统的重要组成部分， 它不但可以提供系统开发指导，也在系统后期的使用指导、后期维护、二次开发中扮 演着不可替代的角色。中标单位应通过文档测试，对系统所属的文档集进行查缺，对 单一文档是否可以正确、简明的指引用户对系统的认识、理解、维护的能力进行评价。包含但不限于以下内容：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完备性：验证系统文档集中的文档类目是否完全可以覆盖系统从立项、设计到后期维护等各生命周期中需要被定义的工作过程。</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正确性：文档中内容描述正确，无错误、无歧义、无模糊化描述。</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一致性：文档中内容与实际系统的实际要求相符合，无差异化描述。</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易理解性：文档中内容以图文并茂的方式进行描述，并应采用该系统读者可理解的术语和文体，用直观、易懂的描述语言。</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易学性：文档中内容便于浏览，逻辑关系清晰，应为用户学会如何使用该系统提供必要的信息。</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可操作性：文档应注明必要的操作模式，并提供目次和索引，对于不常用的数据和首字母缩略语应加以定义。</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4.6 回归测试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在项目承建方完成组件开发、集成工作后，成交供应商参照系统功能设计，根据软件开发模型的不同，采用符合实际的方法对系统进行系统测试，对指定需求的匹配程度进行验证。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总体开发完成后，成交供应商需进行验收测试，对软件进行全面评测，确认承建方提供的产品可以满足指定需求，软件运行可以达到预期效果。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对于测试中发现的问题，承建方整改后，成交供应商需要进行回归测试，验证在修改缺陷后是否有新的缺陷引入。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4.7实施要求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供应商应针对本项目制定完整的实施方案，包括但不限于进度安排、人力资源计划、质量保证、风险管理、沟通管理等内容。</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 资源配置</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供应商须在其响应文件中清晰陈述对于该项目的资源配置情况，包括：</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1）项目的组织结构与职责分工</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2）项目组配备人员的能力与资质</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3）测试环境构建方案</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测试工具说明供应商应在其响应文件中陈述拟安排的资源和可用性保障条件，明确拟投入项目人员的专业背景、项目实践经验、资质及技术能力说明、人员可用性保障说明、测试环境、测试工具可用性保障说明。</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根据测试的实际需要考虑现场测试，差旅费包含在整体报价中。</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供应商应采用业界主流的测试工具进行测试，由供应商提供，如果出现知识产权问题，责任归供应商。</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2.工作流程</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供应商的响应文件中须清晰描述其如何安排项目的工作流程，包含但不限于以下环节：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1）测试调研：对被测项目进行调研，熟悉测试需求。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2）测试准备：测试计划、测评方案、测试用例集、测试脚本等的编制和准备。</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3）测评方案评审：成交供应商、采购人对测评方案进行评审。</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4）测试执行：完成测评方案中要求的所有内容，并填写详细测试记录。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5）测试问题报告提交：提交完整的问题报告。</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6）回归测试：对测试中发现的问题及影响范围进行回归测试。</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7）测试报告提交：提交正式验收测试报告。</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3.项目实施结果绩效指标</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供应商应根据整体工作计划和安排完成平台评测工作，评测工作的方案应包含但不限于以下要求：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1、完成平台招标范围内所有评测工作；</w:t>
      </w:r>
    </w:p>
    <w:p>
      <w:pPr>
        <w:spacing w:line="360" w:lineRule="auto"/>
        <w:ind w:firstLine="420" w:firstLineChars="200"/>
        <w:rPr>
          <w:rFonts w:hint="default"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2、项目交付物齐全，符合项目要求及有关标准的规定；包括但不限于：①测试方案、②测试问题报告、③加盖CNAS或CMA盖章的检测报告；</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3、评测报告详实、客观、有法律效力，为平台上线和验收提供重要的参考，促使项目达到使用和验收要求。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4.其他</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1、成交供应商须与采购人签订保密协议，对采购人的各类文档、资料、代码及相关信息具有保密责任，承诺未经采购人书面许可，不得泄露。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2、成交供应商参加本次工程的所有人员，均应和采购人签署保密协议。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3、所有与本项目相关的重要数据、往来信件，在传输、传递过程中均应加密。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4、本次项目结束后，成交供应商应彻底删除采购人相关的网络拓扑、IP 地址、设备配置等信息，并不保留任何电子或纸质的备份。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5、成交供应商须承诺在本项目中使用最新版本的软、硬件工具， 且该工具必须是经过测试正式推出的， 其可靠性、稳定性经过严格验证的。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6、成交供应商须对本项目中所采用的软、硬件工具进行详细的功能及性能说明。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7、本项目不得进行分包和转包，如有此类行为，由成交供应商承担相关责任。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8、成交供应商团队成员现场工作时间的具体工作内容由采购人安排，成交供应商不得干预。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9、测试期间，检测员应在项目现场驻场检测。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10、提供系统测试的技术支持，为项目顺利通过验收测试提供技术保障。</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11、如测试对象对测评结果有异议，可申请由采购人组织专家进行论证。</w:t>
      </w:r>
    </w:p>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三、报价要求</w:t>
      </w:r>
    </w:p>
    <w:p>
      <w:pPr>
        <w:spacing w:line="360" w:lineRule="auto"/>
        <w:ind w:firstLine="420" w:firstLineChars="200"/>
        <w:rPr>
          <w:rFonts w:hint="default"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本次信息化建设第三方测评项目服务费最高投标限价为200000.00元，各投标人投标报价不得高于最高投标限价。</w:t>
      </w:r>
    </w:p>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 xml:space="preserve">四、项目人员要求 </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 xml:space="preserve">成交供应商需要确保安排至少 3 名项目组人员完整的参与本项目，人员基本要求如下表所示。成交供应商应灵活调配资源，满足项目管理、测试、整改的需求。项目组人员须有一定的需求分析、软件测试和项目运维的技能及经验。 </w:t>
      </w:r>
    </w:p>
    <w:tbl>
      <w:tblPr>
        <w:tblStyle w:val="7"/>
        <w:tblW w:w="465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91"/>
        <w:gridCol w:w="2571"/>
        <w:gridCol w:w="2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673"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岗位</w:t>
            </w:r>
          </w:p>
        </w:tc>
        <w:tc>
          <w:tcPr>
            <w:tcW w:w="1660"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人员数量</w:t>
            </w:r>
          </w:p>
        </w:tc>
        <w:tc>
          <w:tcPr>
            <w:tcW w:w="1665"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673"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总测试工程师</w:t>
            </w:r>
          </w:p>
        </w:tc>
        <w:tc>
          <w:tcPr>
            <w:tcW w:w="1660"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1 人</w:t>
            </w:r>
          </w:p>
        </w:tc>
        <w:tc>
          <w:tcPr>
            <w:tcW w:w="1665"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不允许外聘、返聘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1673"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测试工程师</w:t>
            </w:r>
          </w:p>
        </w:tc>
        <w:tc>
          <w:tcPr>
            <w:tcW w:w="1660"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2 人</w:t>
            </w:r>
          </w:p>
        </w:tc>
        <w:tc>
          <w:tcPr>
            <w:tcW w:w="1665" w:type="pct"/>
            <w:vAlign w:val="top"/>
          </w:tcPr>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不允许外聘、返聘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5000" w:type="pct"/>
            <w:gridSpan w:val="3"/>
            <w:vAlign w:val="top"/>
          </w:tcPr>
          <w:p>
            <w:pPr>
              <w:pStyle w:val="8"/>
              <w:spacing w:before="59" w:line="220" w:lineRule="auto"/>
              <w:rPr>
                <w:rFonts w:hint="default"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highlight w:val="none"/>
                <w:lang w:val="zh-CN" w:eastAsia="zh-CN" w:bidi="ar-SA"/>
                <w14:textFill>
                  <w14:solidFill>
                    <w14:schemeClr w14:val="tx1"/>
                  </w14:solidFill>
                </w14:textFill>
              </w:rPr>
              <w:t>1、投标文件中须提供人员配备名单（格式自拟），否则投标无效；</w:t>
            </w:r>
          </w:p>
          <w:p>
            <w:pPr>
              <w:pStyle w:val="8"/>
              <w:spacing w:before="59" w:line="220" w:lineRule="auto"/>
              <w:rPr>
                <w:rFonts w:hint="eastAsia" w:ascii="宋体" w:hAnsi="宋体" w:eastAsia="宋体" w:cs="Times New Roman"/>
                <w:b w:val="0"/>
                <w:bCs w:val="0"/>
                <w:color w:val="000000" w:themeColor="text1"/>
                <w:kern w:val="2"/>
                <w:sz w:val="21"/>
                <w:szCs w:val="21"/>
                <w:highlight w:val="none"/>
                <w:lang w:val="zh-CN"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highlight w:val="none"/>
                <w:lang w:val="zh-CN" w:eastAsia="zh-CN" w:bidi="ar-SA"/>
                <w14:textFill>
                  <w14:solidFill>
                    <w14:schemeClr w14:val="tx1"/>
                  </w14:solidFill>
                </w14:textFill>
              </w:rPr>
              <w:t>2、除人员配备名单及评分标准中要求提供的人员证明材料外，供应商</w:t>
            </w:r>
            <w:r>
              <w:rPr>
                <w:rFonts w:hint="eastAsia" w:cs="Times New Roman"/>
                <w:b w:val="0"/>
                <w:bCs w:val="0"/>
                <w:color w:val="000000" w:themeColor="text1"/>
                <w:kern w:val="2"/>
                <w:sz w:val="21"/>
                <w:szCs w:val="21"/>
                <w:highlight w:val="none"/>
                <w:lang w:val="zh-CN" w:eastAsia="zh-CN" w:bidi="ar-SA"/>
                <w14:textFill>
                  <w14:solidFill>
                    <w14:schemeClr w14:val="tx1"/>
                  </w14:solidFill>
                </w14:textFill>
              </w:rPr>
              <w:t>无需</w:t>
            </w:r>
            <w:r>
              <w:rPr>
                <w:rFonts w:hint="eastAsia" w:ascii="宋体" w:hAnsi="宋体" w:eastAsia="宋体" w:cs="Times New Roman"/>
                <w:b w:val="0"/>
                <w:bCs w:val="0"/>
                <w:color w:val="000000" w:themeColor="text1"/>
                <w:kern w:val="2"/>
                <w:sz w:val="21"/>
                <w:szCs w:val="21"/>
                <w:highlight w:val="none"/>
                <w:lang w:val="zh-CN" w:eastAsia="zh-CN" w:bidi="ar-SA"/>
                <w14:textFill>
                  <w14:solidFill>
                    <w14:schemeClr w14:val="tx1"/>
                  </w14:solidFill>
                </w14:textFill>
              </w:rPr>
              <w:t>另外提供人员的其他证明材料，相关证明材料在合同签订后由中标人向采购人提供原件核查。</w:t>
            </w:r>
          </w:p>
          <w:p>
            <w:pPr>
              <w:pStyle w:val="8"/>
              <w:spacing w:before="59" w:line="220" w:lineRule="auto"/>
              <w:rPr>
                <w:rFonts w:hint="default"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lang w:val="en-US" w:eastAsia="zh-CN" w:bidi="ar-SA"/>
                <w14:textFill>
                  <w14:solidFill>
                    <w14:schemeClr w14:val="tx1"/>
                  </w14:solidFill>
                </w14:textFill>
              </w:rPr>
              <w:t>3、</w:t>
            </w:r>
            <w:r>
              <w:rPr>
                <w:rFonts w:hint="eastAsia" w:cs="Times New Roman"/>
                <w:b w:val="0"/>
                <w:bCs w:val="0"/>
                <w:color w:val="000000" w:themeColor="text1"/>
                <w:kern w:val="2"/>
                <w:sz w:val="21"/>
                <w:szCs w:val="21"/>
                <w:highlight w:val="red"/>
                <w:lang w:val="en-US" w:eastAsia="zh-CN" w:bidi="ar-SA"/>
                <w14:textFill>
                  <w14:solidFill>
                    <w14:schemeClr w14:val="tx1"/>
                  </w14:solidFill>
                </w14:textFill>
              </w:rPr>
              <w:t>投标文件中提供</w:t>
            </w:r>
            <w:r>
              <w:rPr>
                <w:rFonts w:hint="eastAsia" w:asciiTheme="minorEastAsia" w:hAnsiTheme="minorEastAsia" w:eastAsiaTheme="minorEastAsia" w:cstheme="minorEastAsia"/>
                <w:b w:val="0"/>
                <w:bCs/>
                <w:color w:val="000000" w:themeColor="text1"/>
                <w:sz w:val="21"/>
                <w:szCs w:val="21"/>
                <w:highlight w:val="red"/>
                <w:lang w:val="en-US" w:eastAsia="zh-CN"/>
                <w14:textFill>
                  <w14:solidFill>
                    <w14:schemeClr w14:val="tx1"/>
                  </w14:solidFill>
                </w14:textFill>
              </w:rPr>
              <w:t>投标人为总测试工程师、测试工程师缴纳的近3个月内与投标人名称一致（不含分公司或子公司）的社保证明材料并加盖投标人公章。</w:t>
            </w:r>
          </w:p>
        </w:tc>
      </w:tr>
    </w:tbl>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五、项目验收要求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1、成交供应商在采购人确定的时间内为采购人提供全部服务，且项目成员工作量符合采购人要求。</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2、成交供应商按时提交各项测试产出物。</w:t>
      </w:r>
    </w:p>
    <w:p>
      <w:pPr>
        <w:spacing w:line="360" w:lineRule="auto"/>
        <w:ind w:firstLine="420" w:firstLineChars="200"/>
        <w:rPr>
          <w:rFonts w:hint="eastAsia" w:ascii="宋体" w:hAnsi="宋体" w:cs="Times New Roman"/>
          <w:b w:val="0"/>
          <w:bCs w:val="0"/>
          <w:color w:val="000000" w:themeColor="text1"/>
          <w:szCs w:val="21"/>
          <w:highlight w:val="none"/>
          <w:lang w:val="en-US" w:eastAsia="zh-CN"/>
          <w14:textFill>
            <w14:solidFill>
              <w14:schemeClr w14:val="tx1"/>
            </w14:solidFill>
          </w14:textFill>
        </w:rPr>
      </w:pPr>
      <w:r>
        <w:rPr>
          <w:rFonts w:hint="eastAsia" w:ascii="宋体" w:hAnsi="宋体" w:cs="Times New Roman"/>
          <w:b w:val="0"/>
          <w:bCs w:val="0"/>
          <w:color w:val="000000" w:themeColor="text1"/>
          <w:szCs w:val="21"/>
          <w:highlight w:val="none"/>
          <w:lang w:val="en-US" w:eastAsia="zh-CN"/>
          <w14:textFill>
            <w14:solidFill>
              <w14:schemeClr w14:val="tx1"/>
            </w14:solidFill>
          </w14:textFill>
        </w:rPr>
        <w:t>3、成交供应商根据本项目进度要求完成第三方检测工作并出具相关报告。</w:t>
      </w:r>
    </w:p>
    <w:p>
      <w:pPr>
        <w:spacing w:line="360" w:lineRule="auto"/>
        <w:ind w:firstLine="422" w:firstLineChars="200"/>
        <w:rPr>
          <w:rFonts w:hint="eastAsia" w:ascii="宋体" w:hAnsi="宋体" w:cs="Times New Roman"/>
          <w:b/>
          <w:bCs/>
          <w:color w:val="000000" w:themeColor="text1"/>
          <w:szCs w:val="21"/>
          <w:highlight w:val="none"/>
          <w:lang w:val="en-US" w:eastAsia="zh-CN"/>
          <w14:textFill>
            <w14:solidFill>
              <w14:schemeClr w14:val="tx1"/>
            </w14:solidFill>
          </w14:textFill>
        </w:rPr>
      </w:pPr>
      <w:r>
        <w:rPr>
          <w:rFonts w:hint="eastAsia" w:ascii="宋体" w:hAnsi="宋体" w:cs="Times New Roman"/>
          <w:b/>
          <w:bCs/>
          <w:color w:val="000000" w:themeColor="text1"/>
          <w:szCs w:val="21"/>
          <w:highlight w:val="none"/>
          <w:lang w:val="en-US" w:eastAsia="zh-CN"/>
          <w14:textFill>
            <w14:solidFill>
              <w14:schemeClr w14:val="tx1"/>
            </w14:solidFill>
          </w14:textFill>
        </w:rPr>
        <w:t>六、其他要求</w:t>
      </w:r>
    </w:p>
    <w:p>
      <w:r>
        <w:rPr>
          <w:rFonts w:hint="eastAsia"/>
          <w:color w:val="000000" w:themeColor="text1"/>
          <w:highlight w:val="none"/>
          <w:lang w:val="en-US" w:eastAsia="zh-CN"/>
          <w14:textFill>
            <w14:solidFill>
              <w14:schemeClr w14:val="tx1"/>
            </w14:solidFill>
          </w14:textFill>
        </w:rPr>
        <w:t>响应人提供的证明材料须清晰地反映评审内容，如因材料模糊不清，导致磋商小组无法辨认的，磋商小组可以不予认可，一切后果由响应人自行承担。</w:t>
      </w: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ODYwZGU1NjBjOWIxY2RlMTA3YjExNWMyMGJlM2UifQ=="/>
  </w:docVars>
  <w:rsids>
    <w:rsidRoot w:val="00000000"/>
    <w:rsid w:val="706E4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Plain Text"/>
    <w:basedOn w:val="1"/>
    <w:qFormat/>
    <w:uiPriority w:val="99"/>
    <w:rPr>
      <w:rFonts w:ascii="宋体" w:hAnsi="Courier New" w:cs="Courier New"/>
      <w:szCs w:val="21"/>
    </w:rPr>
  </w:style>
  <w:style w:type="paragraph" w:customStyle="1" w:styleId="6">
    <w:name w:val="正文 New"/>
    <w:basedOn w:val="1"/>
    <w:autoRedefine/>
    <w:qFormat/>
    <w:uiPriority w:val="0"/>
    <w:pPr>
      <w:spacing w:before="100" w:beforeAutospacing="1" w:after="100" w:afterAutospacing="1" w:line="440" w:lineRule="exact"/>
      <w:ind w:left="357" w:hanging="357"/>
    </w:pPr>
    <w:rPr>
      <w:szCs w:val="21"/>
    </w:rPr>
  </w:style>
  <w:style w:type="table" w:customStyle="1" w:styleId="7">
    <w:name w:val="Table Normal"/>
    <w:autoRedefine/>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2024-01-09T06:42:49Z</dcterms:created>
  <dc:creator>lenovo yq</dc:creator>
  <cp:lastModifiedBy>宝宝/love</cp:lastModifiedBy>
  <dcterms:modified xsi:type="dcterms:W3CDTF">2024-01-09T06:42:53Z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63662877E5A64DC6B6091B4553766DF6_12</vt:lpwstr>
  </property>
</Properties>
</file>