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sz w:val="28"/>
          <w:szCs w:val="28"/>
          <w:lang w:eastAsia="zh-CN"/>
        </w:rPr>
      </w:pPr>
      <w:r>
        <w:rPr>
          <w:rFonts w:hint="eastAsia"/>
          <w:sz w:val="28"/>
          <w:szCs w:val="28"/>
          <w:lang w:eastAsia="zh-CN"/>
        </w:rPr>
        <w:t>附件：</w:t>
      </w:r>
    </w:p>
    <w:p>
      <w:pPr>
        <w:jc w:val="center"/>
        <w:rPr>
          <w:rFonts w:hint="eastAsia" w:eastAsiaTheme="minorEastAsia"/>
          <w:sz w:val="32"/>
          <w:szCs w:val="40"/>
          <w:lang w:eastAsia="zh-CN"/>
        </w:rPr>
      </w:pPr>
      <w:r>
        <w:rPr>
          <w:rFonts w:hint="eastAsia"/>
          <w:sz w:val="28"/>
          <w:szCs w:val="28"/>
          <w:lang w:eastAsia="zh-CN"/>
        </w:rPr>
        <w:t>一、</w:t>
      </w:r>
      <w:r>
        <w:rPr>
          <w:rFonts w:hint="eastAsia"/>
          <w:sz w:val="28"/>
          <w:szCs w:val="28"/>
        </w:rPr>
        <w:t>穿戴式心电传感器</w:t>
      </w:r>
      <w:r>
        <w:rPr>
          <w:rFonts w:hint="eastAsia"/>
          <w:sz w:val="28"/>
          <w:szCs w:val="28"/>
          <w:lang w:eastAsia="zh-CN"/>
        </w:rPr>
        <w:t>配套仪器需求及</w:t>
      </w:r>
      <w:r>
        <w:rPr>
          <w:rFonts w:hint="eastAsia"/>
          <w:sz w:val="28"/>
          <w:szCs w:val="28"/>
        </w:rPr>
        <w:t>技术</w:t>
      </w:r>
      <w:r>
        <w:rPr>
          <w:rFonts w:hint="eastAsia"/>
          <w:sz w:val="28"/>
          <w:szCs w:val="28"/>
          <w:lang w:eastAsia="zh-CN"/>
        </w:rPr>
        <w:t>要求</w:t>
      </w:r>
    </w:p>
    <w:tbl>
      <w:tblPr>
        <w:tblStyle w:val="4"/>
        <w:tblW w:w="8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5"/>
        <w:gridCol w:w="6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3" w:hRule="atLeast"/>
          <w:jc w:val="center"/>
        </w:trPr>
        <w:tc>
          <w:tcPr>
            <w:tcW w:w="177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穿戴式心电传感器三导联</w:t>
            </w:r>
          </w:p>
        </w:tc>
        <w:tc>
          <w:tcPr>
            <w:tcW w:w="6460" w:type="dxa"/>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rPr>
              <w:t>1、设备用途：</w:t>
            </w:r>
          </w:p>
          <w:p>
            <w:pPr>
              <w:rPr>
                <w:szCs w:val="21"/>
              </w:rPr>
            </w:pPr>
            <w:r>
              <w:rPr>
                <w:rFonts w:hint="eastAsia"/>
                <w:szCs w:val="21"/>
              </w:rPr>
              <w:t>1.1适用于阵发性房颤病人，不明原因的各种心律失常病人的超长程连续动态检测及不明原因的晕厥病人的鉴别诊断。</w:t>
            </w:r>
          </w:p>
          <w:p>
            <w:pPr>
              <w:rPr>
                <w:szCs w:val="21"/>
              </w:rPr>
            </w:pPr>
            <w:r>
              <w:rPr>
                <w:rFonts w:hint="eastAsia"/>
                <w:szCs w:val="21"/>
              </w:rPr>
              <w:t>1.2支持无创单导联或多导联的长程动态心电监测，并具备动态心电图分析和远程遥测心电平台功能。</w:t>
            </w:r>
          </w:p>
          <w:p>
            <w:pPr>
              <w:rPr>
                <w:szCs w:val="21"/>
              </w:rPr>
            </w:pPr>
            <w:r>
              <w:rPr>
                <w:rFonts w:hint="eastAsia"/>
                <w:szCs w:val="21"/>
              </w:rPr>
              <w:t>2、功能配置：</w:t>
            </w:r>
          </w:p>
          <w:p>
            <w:pPr>
              <w:rPr>
                <w:rFonts w:hint="eastAsia" w:eastAsiaTheme="minorEastAsia"/>
                <w:szCs w:val="21"/>
                <w:lang w:eastAsia="zh-CN"/>
              </w:rPr>
            </w:pPr>
            <w:r>
              <w:rPr>
                <w:rFonts w:hint="eastAsia"/>
                <w:szCs w:val="21"/>
              </w:rPr>
              <w:t>2.1监测时间：持续检测至少 72h</w:t>
            </w:r>
            <w:r>
              <w:rPr>
                <w:rFonts w:hint="eastAsia"/>
                <w:szCs w:val="21"/>
                <w:lang w:eastAsia="zh-CN"/>
              </w:rPr>
              <w:t>；</w:t>
            </w:r>
          </w:p>
          <w:p>
            <w:pPr>
              <w:rPr>
                <w:rFonts w:hint="eastAsia" w:eastAsiaTheme="minorEastAsia"/>
                <w:szCs w:val="21"/>
                <w:lang w:eastAsia="zh-CN"/>
              </w:rPr>
            </w:pPr>
            <w:r>
              <w:rPr>
                <w:rFonts w:hint="eastAsia"/>
                <w:szCs w:val="21"/>
              </w:rPr>
              <w:t>2.2支持导联脱落智能检测</w:t>
            </w:r>
            <w:r>
              <w:rPr>
                <w:rFonts w:hint="eastAsia"/>
                <w:szCs w:val="21"/>
                <w:lang w:eastAsia="zh-CN"/>
              </w:rPr>
              <w:t>；</w:t>
            </w:r>
          </w:p>
          <w:p>
            <w:pPr>
              <w:rPr>
                <w:rFonts w:hint="eastAsia" w:eastAsiaTheme="minorEastAsia"/>
                <w:szCs w:val="21"/>
                <w:lang w:eastAsia="zh-CN"/>
              </w:rPr>
            </w:pPr>
            <w:r>
              <w:rPr>
                <w:rFonts w:hint="eastAsia"/>
                <w:szCs w:val="21"/>
              </w:rPr>
              <w:t>2.</w:t>
            </w:r>
            <w:r>
              <w:rPr>
                <w:rFonts w:hint="eastAsia"/>
                <w:szCs w:val="21"/>
                <w:lang w:val="en-US" w:eastAsia="zh-CN"/>
              </w:rPr>
              <w:t>3</w:t>
            </w:r>
            <w:r>
              <w:rPr>
                <w:rFonts w:hint="eastAsia"/>
                <w:szCs w:val="21"/>
              </w:rPr>
              <w:t>通过网关可支持此功能</w:t>
            </w:r>
            <w:r>
              <w:rPr>
                <w:rFonts w:hint="eastAsia"/>
                <w:szCs w:val="21"/>
                <w:lang w:eastAsia="zh-CN"/>
              </w:rPr>
              <w:t>；</w:t>
            </w:r>
          </w:p>
          <w:p>
            <w:pPr>
              <w:rPr>
                <w:rFonts w:hint="eastAsia" w:eastAsiaTheme="minorEastAsia"/>
                <w:szCs w:val="21"/>
                <w:lang w:eastAsia="zh-CN"/>
              </w:rPr>
            </w:pPr>
            <w:r>
              <w:rPr>
                <w:rFonts w:hint="eastAsia"/>
                <w:szCs w:val="21"/>
              </w:rPr>
              <w:t>2.</w:t>
            </w:r>
            <w:r>
              <w:rPr>
                <w:rFonts w:hint="eastAsia"/>
                <w:szCs w:val="21"/>
                <w:lang w:val="en-US" w:eastAsia="zh-CN"/>
              </w:rPr>
              <w:t>4</w:t>
            </w:r>
            <w:r>
              <w:rPr>
                <w:rFonts w:hint="eastAsia"/>
                <w:szCs w:val="21"/>
              </w:rPr>
              <w:t>通过USB回收数据</w:t>
            </w:r>
            <w:r>
              <w:rPr>
                <w:rFonts w:hint="eastAsia"/>
                <w:szCs w:val="21"/>
                <w:lang w:eastAsia="zh-CN"/>
              </w:rPr>
              <w:t>；</w:t>
            </w:r>
          </w:p>
          <w:p>
            <w:pPr>
              <w:rPr>
                <w:szCs w:val="21"/>
              </w:rPr>
            </w:pPr>
            <w:r>
              <w:rPr>
                <w:rFonts w:hint="eastAsia"/>
                <w:szCs w:val="21"/>
              </w:rPr>
              <w:t>2.</w:t>
            </w:r>
            <w:r>
              <w:rPr>
                <w:rFonts w:hint="eastAsia"/>
                <w:szCs w:val="21"/>
                <w:lang w:val="en-US" w:eastAsia="zh-CN"/>
              </w:rPr>
              <w:t>5</w:t>
            </w:r>
            <w:r>
              <w:rPr>
                <w:rFonts w:hint="eastAsia"/>
                <w:szCs w:val="21"/>
              </w:rPr>
              <w:t>软件组成：动态心电图分析软件和远程遥测心电平台软件；</w:t>
            </w:r>
          </w:p>
          <w:p>
            <w:pPr>
              <w:rPr>
                <w:rFonts w:hint="eastAsia" w:eastAsiaTheme="minorEastAsia"/>
                <w:szCs w:val="21"/>
                <w:lang w:eastAsia="zh-CN"/>
              </w:rPr>
            </w:pPr>
            <w:r>
              <w:rPr>
                <w:rFonts w:hint="eastAsia"/>
                <w:szCs w:val="21"/>
              </w:rPr>
              <w:t>2.</w:t>
            </w:r>
            <w:r>
              <w:rPr>
                <w:rFonts w:hint="eastAsia"/>
                <w:szCs w:val="21"/>
                <w:lang w:val="en-US" w:eastAsia="zh-CN"/>
              </w:rPr>
              <w:t>6</w:t>
            </w:r>
            <w:r>
              <w:rPr>
                <w:rFonts w:hint="eastAsia"/>
                <w:szCs w:val="21"/>
              </w:rPr>
              <w:t>动态心电图分析软件功能：1.医疗证据数据管理，患者管理，设备管理，HRV分析，散点图；2.心电图形实时浏览</w:t>
            </w:r>
            <w:r>
              <w:rPr>
                <w:rFonts w:hint="eastAsia"/>
                <w:szCs w:val="21"/>
                <w:lang w:eastAsia="zh-CN"/>
              </w:rPr>
              <w:t>；</w:t>
            </w:r>
            <w:r>
              <w:rPr>
                <w:rFonts w:hint="eastAsia"/>
                <w:szCs w:val="21"/>
              </w:rPr>
              <w:t>3.全中文操作菜单</w:t>
            </w:r>
            <w:r>
              <w:rPr>
                <w:rFonts w:hint="eastAsia"/>
                <w:szCs w:val="21"/>
                <w:lang w:eastAsia="zh-CN"/>
              </w:rPr>
              <w:t>；</w:t>
            </w:r>
            <w:r>
              <w:rPr>
                <w:rFonts w:hint="eastAsia"/>
                <w:szCs w:val="21"/>
              </w:rPr>
              <w:t>4.支持远程心电数据传输，分析</w:t>
            </w:r>
            <w:r>
              <w:rPr>
                <w:rFonts w:hint="eastAsia"/>
                <w:szCs w:val="21"/>
                <w:lang w:eastAsia="zh-CN"/>
              </w:rPr>
              <w:t>；</w:t>
            </w:r>
          </w:p>
          <w:p>
            <w:pPr>
              <w:rPr>
                <w:rFonts w:hint="eastAsia" w:eastAsiaTheme="minorEastAsia"/>
                <w:szCs w:val="21"/>
                <w:lang w:eastAsia="zh-CN"/>
              </w:rPr>
            </w:pPr>
            <w:r>
              <w:rPr>
                <w:rFonts w:hint="eastAsia"/>
                <w:szCs w:val="21"/>
              </w:rPr>
              <w:t>2.</w:t>
            </w:r>
            <w:r>
              <w:rPr>
                <w:rFonts w:hint="eastAsia"/>
                <w:szCs w:val="21"/>
                <w:lang w:val="en-US" w:eastAsia="zh-CN"/>
              </w:rPr>
              <w:t>7</w:t>
            </w:r>
            <w:r>
              <w:rPr>
                <w:rFonts w:hint="eastAsia"/>
                <w:szCs w:val="21"/>
              </w:rPr>
              <w:t>远程遥测心电平台软件功能：1、远程遥测心电图查看和回放；2、心电图管理、设备管理、患者管理；3、心电图心律失常人工智能诊断：早搏、心动过缓、心动过速</w:t>
            </w:r>
            <w:r>
              <w:rPr>
                <w:rFonts w:hint="eastAsia"/>
                <w:szCs w:val="21"/>
                <w:lang w:eastAsia="zh-CN"/>
              </w:rPr>
              <w:t>。</w:t>
            </w:r>
          </w:p>
          <w:p>
            <w:pPr>
              <w:rPr>
                <w:szCs w:val="21"/>
              </w:rPr>
            </w:pPr>
            <w:r>
              <w:rPr>
                <w:rFonts w:hint="eastAsia"/>
                <w:szCs w:val="21"/>
              </w:rPr>
              <w:t>3、主要技术参数</w:t>
            </w:r>
          </w:p>
          <w:p>
            <w:pPr>
              <w:rPr>
                <w:rFonts w:hint="eastAsia" w:eastAsiaTheme="minorEastAsia"/>
                <w:szCs w:val="21"/>
                <w:lang w:eastAsia="zh-CN"/>
              </w:rPr>
            </w:pPr>
            <w:r>
              <w:rPr>
                <w:rFonts w:hint="eastAsia"/>
                <w:szCs w:val="21"/>
              </w:rPr>
              <w:t>3.</w:t>
            </w:r>
            <w:r>
              <w:rPr>
                <w:rFonts w:hint="eastAsia"/>
                <w:szCs w:val="21"/>
                <w:lang w:val="en-US" w:eastAsia="zh-CN"/>
              </w:rPr>
              <w:t>1</w:t>
            </w:r>
            <w:r>
              <w:rPr>
                <w:rFonts w:hint="eastAsia"/>
                <w:szCs w:val="21"/>
              </w:rPr>
              <w:t>防护等级IP21</w:t>
            </w:r>
            <w:r>
              <w:rPr>
                <w:rFonts w:hint="eastAsia"/>
                <w:szCs w:val="21"/>
                <w:lang w:eastAsia="zh-CN"/>
              </w:rPr>
              <w:t>；</w:t>
            </w:r>
          </w:p>
          <w:p>
            <w:pPr>
              <w:rPr>
                <w:rFonts w:hint="eastAsia" w:eastAsiaTheme="minorEastAsia"/>
                <w:szCs w:val="21"/>
                <w:lang w:eastAsia="zh-CN"/>
              </w:rPr>
            </w:pPr>
            <w:r>
              <w:rPr>
                <w:rFonts w:hint="eastAsia"/>
                <w:szCs w:val="21"/>
              </w:rPr>
              <w:t>3.</w:t>
            </w:r>
            <w:r>
              <w:rPr>
                <w:rFonts w:hint="eastAsia"/>
                <w:szCs w:val="21"/>
                <w:lang w:val="en-US" w:eastAsia="zh-CN"/>
              </w:rPr>
              <w:t>2</w:t>
            </w:r>
            <w:r>
              <w:rPr>
                <w:rFonts w:hint="eastAsia"/>
                <w:szCs w:val="21"/>
              </w:rPr>
              <w:t>监测时间：持续检测至少 72h</w:t>
            </w:r>
            <w:r>
              <w:rPr>
                <w:rFonts w:hint="eastAsia"/>
                <w:szCs w:val="21"/>
                <w:lang w:eastAsia="zh-CN"/>
              </w:rPr>
              <w:t>；</w:t>
            </w:r>
          </w:p>
          <w:p>
            <w:pPr>
              <w:rPr>
                <w:rFonts w:hint="eastAsia" w:eastAsiaTheme="minorEastAsia"/>
                <w:szCs w:val="21"/>
                <w:lang w:eastAsia="zh-CN"/>
              </w:rPr>
            </w:pPr>
            <w:r>
              <w:rPr>
                <w:rFonts w:hint="eastAsia"/>
                <w:szCs w:val="21"/>
              </w:rPr>
              <w:t>3.</w:t>
            </w:r>
            <w:r>
              <w:rPr>
                <w:rFonts w:hint="eastAsia"/>
                <w:szCs w:val="21"/>
                <w:lang w:val="en-US" w:eastAsia="zh-CN"/>
              </w:rPr>
              <w:t>3</w:t>
            </w:r>
            <w:r>
              <w:rPr>
                <w:rFonts w:hint="eastAsia"/>
                <w:szCs w:val="21"/>
              </w:rPr>
              <w:t>（贴片式心电传感器）穿戴式心电传感器</w:t>
            </w:r>
            <w:r>
              <w:rPr>
                <w:rFonts w:hint="eastAsia"/>
                <w:szCs w:val="21"/>
                <w:lang w:eastAsia="zh-CN"/>
              </w:rPr>
              <w:t>；</w:t>
            </w:r>
          </w:p>
          <w:p>
            <w:pPr>
              <w:rPr>
                <w:rFonts w:hint="eastAsia" w:eastAsiaTheme="minorEastAsia"/>
                <w:szCs w:val="21"/>
                <w:lang w:eastAsia="zh-CN"/>
              </w:rPr>
            </w:pPr>
            <w:r>
              <w:rPr>
                <w:rFonts w:hint="eastAsia"/>
                <w:szCs w:val="21"/>
              </w:rPr>
              <w:t>★3.</w:t>
            </w:r>
            <w:r>
              <w:rPr>
                <w:rFonts w:hint="eastAsia"/>
                <w:szCs w:val="21"/>
                <w:lang w:val="en-US" w:eastAsia="zh-CN"/>
              </w:rPr>
              <w:t>4</w:t>
            </w:r>
            <w:r>
              <w:rPr>
                <w:rFonts w:hint="eastAsia"/>
                <w:szCs w:val="21"/>
              </w:rPr>
              <w:t>主机：直流DC3.0  无需充电器</w:t>
            </w:r>
            <w:r>
              <w:rPr>
                <w:rFonts w:hint="eastAsia"/>
                <w:szCs w:val="21"/>
                <w:lang w:eastAsia="zh-CN"/>
              </w:rPr>
              <w:t>；</w:t>
            </w:r>
          </w:p>
          <w:p>
            <w:pPr>
              <w:rPr>
                <w:rFonts w:hint="eastAsia" w:eastAsiaTheme="minorEastAsia"/>
                <w:szCs w:val="21"/>
                <w:lang w:eastAsia="zh-CN"/>
              </w:rPr>
            </w:pPr>
            <w:r>
              <w:rPr>
                <w:rFonts w:hint="eastAsia"/>
                <w:szCs w:val="21"/>
              </w:rPr>
              <w:t>★3.</w:t>
            </w:r>
            <w:r>
              <w:rPr>
                <w:rFonts w:hint="eastAsia"/>
                <w:szCs w:val="21"/>
                <w:lang w:val="en-US" w:eastAsia="zh-CN"/>
              </w:rPr>
              <w:t>5</w:t>
            </w:r>
            <w:r>
              <w:rPr>
                <w:rFonts w:hint="eastAsia"/>
                <w:szCs w:val="21"/>
              </w:rPr>
              <w:t>三导联系统噪声：≤50μV；输入阻抗：≥10MΩ；共模抑制：网电源≥60db，频率响应：0.05Hz~40Hz 的正弦信号，幅度为±3db</w:t>
            </w:r>
            <w:r>
              <w:rPr>
                <w:rFonts w:hint="eastAsia"/>
                <w:szCs w:val="21"/>
                <w:lang w:eastAsia="zh-CN"/>
              </w:rPr>
              <w:t>；</w:t>
            </w:r>
          </w:p>
          <w:p>
            <w:pPr>
              <w:rPr>
                <w:szCs w:val="21"/>
              </w:rPr>
            </w:pPr>
            <w:r>
              <w:rPr>
                <w:rFonts w:hint="eastAsia"/>
                <w:szCs w:val="21"/>
              </w:rPr>
              <w:t>★3.</w:t>
            </w:r>
            <w:r>
              <w:rPr>
                <w:rFonts w:hint="eastAsia"/>
                <w:szCs w:val="21"/>
                <w:lang w:val="en-US" w:eastAsia="zh-CN"/>
              </w:rPr>
              <w:t>6</w:t>
            </w:r>
            <w:r>
              <w:rPr>
                <w:rFonts w:hint="eastAsia"/>
                <w:szCs w:val="21"/>
              </w:rPr>
              <w:t>数据传输性能：室内有效传输距离范围</w:t>
            </w:r>
            <w:r>
              <w:rPr>
                <w:rFonts w:hint="eastAsia"/>
                <w:szCs w:val="21"/>
                <w:lang w:eastAsia="zh-CN"/>
              </w:rPr>
              <w:t>≥</w:t>
            </w:r>
            <w:r>
              <w:rPr>
                <w:rFonts w:hint="eastAsia"/>
                <w:szCs w:val="21"/>
              </w:rPr>
              <w:t xml:space="preserve"> 8 米；室外有效传输距离</w:t>
            </w:r>
            <w:r>
              <w:rPr>
                <w:rFonts w:hint="eastAsia"/>
                <w:szCs w:val="21"/>
                <w:lang w:eastAsia="zh-CN"/>
              </w:rPr>
              <w:t>≥</w:t>
            </w:r>
            <w:r>
              <w:rPr>
                <w:rFonts w:hint="eastAsia"/>
                <w:szCs w:val="21"/>
              </w:rPr>
              <w:t xml:space="preserve"> 10 米；</w:t>
            </w:r>
          </w:p>
          <w:p>
            <w:pPr>
              <w:rPr>
                <w:rFonts w:hint="eastAsia" w:eastAsiaTheme="minorEastAsia"/>
                <w:szCs w:val="21"/>
                <w:lang w:eastAsia="zh-CN"/>
              </w:rPr>
            </w:pPr>
            <w:r>
              <w:rPr>
                <w:rFonts w:hint="eastAsia"/>
                <w:szCs w:val="21"/>
              </w:rPr>
              <w:t>3.</w:t>
            </w:r>
            <w:r>
              <w:rPr>
                <w:rFonts w:hint="eastAsia"/>
                <w:szCs w:val="21"/>
                <w:lang w:val="en-US" w:eastAsia="zh-CN"/>
              </w:rPr>
              <w:t>7</w:t>
            </w:r>
            <w:r>
              <w:rPr>
                <w:rFonts w:hint="eastAsia"/>
                <w:szCs w:val="21"/>
              </w:rPr>
              <w:t>监测时间：持续检测</w:t>
            </w:r>
            <w:r>
              <w:rPr>
                <w:rFonts w:hint="eastAsia"/>
                <w:szCs w:val="21"/>
                <w:lang w:eastAsia="zh-CN"/>
              </w:rPr>
              <w:t>≥</w:t>
            </w:r>
            <w:r>
              <w:rPr>
                <w:rFonts w:hint="eastAsia"/>
                <w:szCs w:val="21"/>
              </w:rPr>
              <w:t xml:space="preserve"> 72h</w:t>
            </w:r>
            <w:r>
              <w:rPr>
                <w:rFonts w:hint="eastAsia"/>
                <w:szCs w:val="21"/>
                <w:lang w:eastAsia="zh-CN"/>
              </w:rPr>
              <w:t>；</w:t>
            </w:r>
          </w:p>
          <w:p>
            <w:pPr>
              <w:rPr>
                <w:rFonts w:hint="eastAsia" w:eastAsiaTheme="minorEastAsia"/>
                <w:szCs w:val="21"/>
                <w:lang w:eastAsia="zh-CN"/>
              </w:rPr>
            </w:pPr>
            <w:r>
              <w:rPr>
                <w:rFonts w:hint="eastAsia"/>
                <w:szCs w:val="21"/>
              </w:rPr>
              <w:t>3.</w:t>
            </w:r>
            <w:r>
              <w:rPr>
                <w:rFonts w:hint="eastAsia"/>
                <w:szCs w:val="21"/>
                <w:lang w:val="en-US" w:eastAsia="zh-CN"/>
              </w:rPr>
              <w:t xml:space="preserve">8 </w:t>
            </w:r>
            <w:r>
              <w:rPr>
                <w:rFonts w:hint="eastAsia"/>
                <w:szCs w:val="21"/>
              </w:rPr>
              <w:t xml:space="preserve"> ADC分辨率：≥16bit</w:t>
            </w:r>
            <w:r>
              <w:rPr>
                <w:rFonts w:hint="eastAsia"/>
                <w:szCs w:val="21"/>
                <w:lang w:eastAsia="zh-CN"/>
              </w:rPr>
              <w:t>；</w:t>
            </w:r>
          </w:p>
          <w:p>
            <w:pPr>
              <w:rPr>
                <w:rFonts w:hint="eastAsia" w:eastAsiaTheme="minorEastAsia"/>
                <w:szCs w:val="21"/>
                <w:lang w:eastAsia="zh-CN"/>
              </w:rPr>
            </w:pPr>
            <w:r>
              <w:rPr>
                <w:rFonts w:hint="eastAsia"/>
                <w:szCs w:val="21"/>
              </w:rPr>
              <w:t>3.</w:t>
            </w:r>
            <w:r>
              <w:rPr>
                <w:rFonts w:hint="eastAsia"/>
                <w:szCs w:val="21"/>
                <w:lang w:val="en-US" w:eastAsia="zh-CN"/>
              </w:rPr>
              <w:t xml:space="preserve">9 </w:t>
            </w:r>
            <w:r>
              <w:rPr>
                <w:rFonts w:hint="eastAsia"/>
                <w:szCs w:val="21"/>
              </w:rPr>
              <w:t>采样率：≥125Hz</w:t>
            </w:r>
            <w:r>
              <w:rPr>
                <w:rFonts w:hint="eastAsia"/>
                <w:szCs w:val="21"/>
                <w:lang w:eastAsia="zh-CN"/>
              </w:rPr>
              <w:t>；</w:t>
            </w:r>
          </w:p>
          <w:p>
            <w:pPr>
              <w:rPr>
                <w:rFonts w:hint="eastAsia" w:eastAsiaTheme="minorEastAsia"/>
                <w:szCs w:val="21"/>
                <w:lang w:eastAsia="zh-CN"/>
              </w:rPr>
            </w:pPr>
            <w:r>
              <w:rPr>
                <w:rFonts w:hint="eastAsia"/>
                <w:szCs w:val="21"/>
              </w:rPr>
              <w:t>★3.1</w:t>
            </w:r>
            <w:r>
              <w:rPr>
                <w:rFonts w:hint="eastAsia"/>
                <w:szCs w:val="21"/>
                <w:lang w:val="en-US" w:eastAsia="zh-CN"/>
              </w:rPr>
              <w:t xml:space="preserve">0 </w:t>
            </w:r>
            <w:r>
              <w:rPr>
                <w:rFonts w:hint="eastAsia"/>
                <w:szCs w:val="21"/>
              </w:rPr>
              <w:t>依据3通道，采用5-6个电极</w:t>
            </w:r>
            <w:r>
              <w:rPr>
                <w:rFonts w:hint="eastAsia"/>
                <w:szCs w:val="21"/>
                <w:lang w:eastAsia="zh-CN"/>
              </w:rPr>
              <w:t>；</w:t>
            </w:r>
          </w:p>
          <w:p>
            <w:pPr>
              <w:rPr>
                <w:rFonts w:hint="eastAsia" w:eastAsiaTheme="minorEastAsia"/>
                <w:szCs w:val="21"/>
                <w:lang w:eastAsia="zh-CN"/>
              </w:rPr>
            </w:pPr>
            <w:r>
              <w:rPr>
                <w:rFonts w:hint="eastAsia"/>
                <w:szCs w:val="21"/>
              </w:rPr>
              <w:t>3.1</w:t>
            </w:r>
            <w:r>
              <w:rPr>
                <w:rFonts w:hint="eastAsia"/>
                <w:szCs w:val="21"/>
                <w:lang w:val="en-US" w:eastAsia="zh-CN"/>
              </w:rPr>
              <w:t xml:space="preserve">1 </w:t>
            </w:r>
            <w:r>
              <w:rPr>
                <w:rFonts w:hint="eastAsia"/>
                <w:szCs w:val="21"/>
              </w:rPr>
              <w:t>动态输入范围：耐极化电压±300mV，≤10%或 50μV</w:t>
            </w:r>
            <w:r>
              <w:rPr>
                <w:rFonts w:hint="eastAsia"/>
                <w:szCs w:val="21"/>
                <w:lang w:eastAsia="zh-CN"/>
              </w:rPr>
              <w:t>。</w:t>
            </w:r>
          </w:p>
        </w:tc>
      </w:tr>
    </w:tbl>
    <w:p>
      <w:pPr>
        <w:jc w:val="both"/>
        <w:rPr>
          <w:rFonts w:hint="eastAsia" w:ascii="宋体" w:hAnsi="宋体" w:eastAsia="宋体" w:cs="宋体"/>
          <w:b w:val="0"/>
          <w:bCs/>
          <w:sz w:val="28"/>
          <w:szCs w:val="28"/>
        </w:rPr>
      </w:pPr>
    </w:p>
    <w:p>
      <w:pPr>
        <w:pStyle w:val="6"/>
        <w:ind w:left="0" w:leftChars="0" w:firstLine="0" w:firstLineChars="0"/>
        <w:rPr>
          <w:rFonts w:hint="eastAsia"/>
        </w:rPr>
      </w:pPr>
    </w:p>
    <w:p>
      <w:pPr>
        <w:jc w:val="center"/>
        <w:rPr>
          <w:rFonts w:hint="eastAsia" w:ascii="宋体" w:hAnsi="宋体" w:eastAsia="宋体" w:cs="宋体"/>
          <w:b/>
          <w:bCs/>
          <w:sz w:val="36"/>
          <w:szCs w:val="36"/>
        </w:rPr>
      </w:pPr>
      <w:r>
        <w:rPr>
          <w:rFonts w:hint="eastAsia" w:ascii="宋体" w:hAnsi="宋体" w:eastAsia="宋体" w:cs="宋体"/>
          <w:sz w:val="28"/>
          <w:szCs w:val="28"/>
          <w:lang w:eastAsia="zh-CN"/>
        </w:rPr>
        <w:t>二、</w:t>
      </w:r>
      <w:r>
        <w:rPr>
          <w:rFonts w:hint="eastAsia" w:ascii="宋体" w:hAnsi="宋体" w:eastAsia="宋体" w:cs="宋体"/>
          <w:sz w:val="28"/>
          <w:szCs w:val="28"/>
        </w:rPr>
        <w:t>穿戴式心电传感器</w:t>
      </w:r>
      <w:r>
        <w:rPr>
          <w:rFonts w:hint="eastAsia" w:ascii="宋体" w:hAnsi="宋体" w:eastAsia="宋体" w:cs="宋体"/>
          <w:b w:val="0"/>
          <w:bCs w:val="0"/>
          <w:sz w:val="28"/>
          <w:szCs w:val="28"/>
        </w:rPr>
        <w:t>报价表</w:t>
      </w:r>
    </w:p>
    <w:p>
      <w:pPr>
        <w:numPr>
          <w:ilvl w:val="0"/>
          <w:numId w:val="0"/>
        </w:numPr>
        <w:spacing w:line="240" w:lineRule="auto"/>
        <w:ind w:leftChars="0"/>
        <w:rPr>
          <w:rFonts w:hint="eastAsia"/>
          <w:sz w:val="24"/>
          <w:szCs w:val="32"/>
          <w:lang w:eastAsia="zh-CN"/>
        </w:rPr>
      </w:pPr>
    </w:p>
    <w:tbl>
      <w:tblPr>
        <w:tblStyle w:val="4"/>
        <w:tblW w:w="10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7"/>
        <w:gridCol w:w="1395"/>
        <w:gridCol w:w="1500"/>
        <w:gridCol w:w="1510"/>
        <w:gridCol w:w="720"/>
        <w:gridCol w:w="1110"/>
        <w:gridCol w:w="1785"/>
        <w:gridCol w:w="1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3052"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465"/>
              </w:tabs>
              <w:spacing w:line="300" w:lineRule="exact"/>
              <w:jc w:val="center"/>
              <w:rPr>
                <w:rFonts w:hint="eastAsia" w:asciiTheme="minorEastAsia" w:hAnsiTheme="minorEastAsia" w:eastAsiaTheme="minorEastAsia" w:cstheme="minorEastAsia"/>
                <w:b w:val="0"/>
                <w:bCs/>
                <w:spacing w:val="-20"/>
                <w:sz w:val="24"/>
                <w:szCs w:val="24"/>
              </w:rPr>
            </w:pPr>
            <w:r>
              <w:rPr>
                <w:rFonts w:hint="eastAsia" w:asciiTheme="minorEastAsia" w:hAnsiTheme="minorEastAsia" w:eastAsiaTheme="minorEastAsia" w:cstheme="minorEastAsia"/>
                <w:b w:val="0"/>
                <w:bCs/>
                <w:spacing w:val="-20"/>
                <w:sz w:val="24"/>
                <w:szCs w:val="24"/>
              </w:rPr>
              <w:t>名  称</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tabs>
                <w:tab w:val="left" w:pos="465"/>
              </w:tabs>
              <w:spacing w:line="300" w:lineRule="exact"/>
              <w:jc w:val="center"/>
              <w:rPr>
                <w:rFonts w:hint="eastAsia" w:asciiTheme="minorEastAsia" w:hAnsiTheme="minorEastAsia" w:eastAsiaTheme="minorEastAsia" w:cstheme="minorEastAsia"/>
                <w:b w:val="0"/>
                <w:bCs/>
                <w:spacing w:val="-20"/>
                <w:sz w:val="24"/>
                <w:szCs w:val="24"/>
              </w:rPr>
            </w:pPr>
            <w:r>
              <w:rPr>
                <w:rFonts w:hint="eastAsia" w:asciiTheme="minorEastAsia" w:hAnsiTheme="minorEastAsia" w:eastAsiaTheme="minorEastAsia" w:cstheme="minorEastAsia"/>
                <w:b w:val="0"/>
                <w:bCs/>
                <w:sz w:val="24"/>
                <w:szCs w:val="24"/>
              </w:rPr>
              <w:t>规格型号</w:t>
            </w:r>
          </w:p>
        </w:tc>
        <w:tc>
          <w:tcPr>
            <w:tcW w:w="15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4"/>
                <w:szCs w:val="24"/>
                <w:lang w:eastAsia="zh-CN"/>
              </w:rPr>
              <w:t>产地</w:t>
            </w:r>
            <w:r>
              <w:rPr>
                <w:rFonts w:hint="eastAsia" w:asciiTheme="minorEastAsia" w:hAnsiTheme="minorEastAsia" w:cstheme="minorEastAsia"/>
                <w:b w:val="0"/>
                <w:bCs/>
                <w:sz w:val="24"/>
                <w:szCs w:val="24"/>
                <w:lang w:val="en-US" w:eastAsia="zh-CN"/>
              </w:rPr>
              <w:t>/品牌</w:t>
            </w: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eastAsiaTheme="minorEastAsia" w:cstheme="minorEastAsia"/>
                <w:b w:val="0"/>
                <w:bCs/>
                <w:sz w:val="24"/>
                <w:szCs w:val="24"/>
                <w:lang w:eastAsia="zh-CN"/>
              </w:rPr>
              <w:t>单位</w:t>
            </w:r>
          </w:p>
        </w:tc>
        <w:tc>
          <w:tcPr>
            <w:tcW w:w="11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lang w:eastAsia="zh-CN"/>
              </w:rPr>
            </w:pPr>
            <w:r>
              <w:rPr>
                <w:rFonts w:hint="eastAsia" w:asciiTheme="minorEastAsia" w:hAnsiTheme="minorEastAsia" w:cstheme="minorEastAsia"/>
                <w:b w:val="0"/>
                <w:bCs/>
                <w:sz w:val="24"/>
                <w:szCs w:val="24"/>
                <w:lang w:eastAsia="zh-CN"/>
              </w:rPr>
              <w:t>数量</w:t>
            </w:r>
          </w:p>
        </w:tc>
        <w:tc>
          <w:tcPr>
            <w:tcW w:w="17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4"/>
                <w:szCs w:val="24"/>
                <w:lang w:eastAsia="zh-CN"/>
              </w:rPr>
              <w:t>最高限价（元）</w:t>
            </w:r>
          </w:p>
        </w:tc>
        <w:tc>
          <w:tcPr>
            <w:tcW w:w="12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3052" w:type="dxa"/>
            <w:gridSpan w:val="2"/>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cstheme="minorEastAsia"/>
                <w:sz w:val="24"/>
              </w:rPr>
              <w:t>穿戴式心电传感器三导</w:t>
            </w:r>
            <w:r>
              <w:rPr>
                <w:rFonts w:hint="eastAsia" w:asciiTheme="minorEastAsia" w:hAnsiTheme="minorEastAsia" w:cstheme="minorEastAsia"/>
                <w:sz w:val="24"/>
                <w:lang w:eastAsia="zh-CN"/>
              </w:rPr>
              <w:t>联</w:t>
            </w:r>
          </w:p>
        </w:tc>
        <w:tc>
          <w:tcPr>
            <w:tcW w:w="1500"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p>
        </w:tc>
        <w:tc>
          <w:tcPr>
            <w:tcW w:w="1510"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cstheme="minorEastAsia"/>
                <w:bCs/>
                <w:sz w:val="24"/>
              </w:rPr>
            </w:pPr>
          </w:p>
        </w:tc>
        <w:tc>
          <w:tcPr>
            <w:tcW w:w="720"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r>
              <w:rPr>
                <w:rFonts w:hint="eastAsia" w:asciiTheme="minorEastAsia" w:hAnsiTheme="minorEastAsia" w:cstheme="minorEastAsia"/>
                <w:bCs/>
                <w:sz w:val="24"/>
              </w:rPr>
              <w:t>片</w:t>
            </w:r>
          </w:p>
        </w:tc>
        <w:tc>
          <w:tcPr>
            <w:tcW w:w="1110"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r>
              <w:rPr>
                <w:rFonts w:hint="eastAsia" w:asciiTheme="minorEastAsia" w:hAnsiTheme="minorEastAsia" w:cstheme="minorEastAsia"/>
                <w:bCs/>
                <w:sz w:val="24"/>
              </w:rPr>
              <w:t>按需</w:t>
            </w:r>
          </w:p>
        </w:tc>
        <w:tc>
          <w:tcPr>
            <w:tcW w:w="1785"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r>
              <w:rPr>
                <w:rFonts w:hint="eastAsia" w:asciiTheme="minorEastAsia" w:hAnsiTheme="minorEastAsia" w:cstheme="minorEastAsia"/>
                <w:bCs/>
                <w:sz w:val="24"/>
              </w:rPr>
              <w:t>430.00</w:t>
            </w:r>
          </w:p>
        </w:tc>
        <w:tc>
          <w:tcPr>
            <w:tcW w:w="1281" w:type="dxa"/>
            <w:tcBorders>
              <w:top w:val="single" w:color="auto" w:sz="4" w:space="0"/>
              <w:left w:val="single" w:color="auto" w:sz="4" w:space="0"/>
              <w:right w:val="single" w:color="auto" w:sz="4" w:space="0"/>
            </w:tcBorders>
            <w:noWrap w:val="0"/>
            <w:vAlign w:val="center"/>
          </w:tcPr>
          <w:p>
            <w:pPr>
              <w:jc w:val="center"/>
              <w:rPr>
                <w:rFonts w:hint="eastAsia" w:asciiTheme="minorEastAsia" w:hAnsiTheme="minorEastAsia" w:eastAsiaTheme="minorEastAsia" w:cstheme="minorEastAsia"/>
                <w:bCs/>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9" w:hRule="atLeast"/>
          <w:jc w:val="center"/>
        </w:trPr>
        <w:tc>
          <w:tcPr>
            <w:tcW w:w="1657" w:type="dxa"/>
            <w:tcBorders>
              <w:top w:val="single" w:color="auto" w:sz="4" w:space="0"/>
              <w:left w:val="single" w:color="auto" w:sz="4" w:space="0"/>
              <w:bottom w:val="single" w:color="auto" w:sz="4" w:space="0"/>
              <w:right w:val="single" w:color="auto" w:sz="4" w:space="0"/>
            </w:tcBorders>
            <w:noWrap w:val="0"/>
            <w:vAlign w:val="center"/>
          </w:tcPr>
          <w:p>
            <w:pPr>
              <w:pStyle w:val="6"/>
              <w:numPr>
                <w:ilvl w:val="0"/>
                <w:numId w:val="0"/>
              </w:numPr>
              <w:spacing w:line="240" w:lineRule="auto"/>
              <w:ind w:leftChars="0"/>
              <w:jc w:val="center"/>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rPr>
              <w:t>备  注</w:t>
            </w:r>
          </w:p>
        </w:tc>
        <w:tc>
          <w:tcPr>
            <w:tcW w:w="9301" w:type="dxa"/>
            <w:gridSpan w:val="7"/>
            <w:tcBorders>
              <w:top w:val="single" w:color="auto" w:sz="4" w:space="0"/>
              <w:left w:val="single" w:color="auto" w:sz="4" w:space="0"/>
              <w:bottom w:val="single" w:color="auto" w:sz="4" w:space="0"/>
              <w:right w:val="single" w:color="auto" w:sz="4" w:space="0"/>
            </w:tcBorders>
            <w:noWrap w:val="0"/>
            <w:vAlign w:val="top"/>
          </w:tcPr>
          <w:p>
            <w:pPr>
              <w:numPr>
                <w:ilvl w:val="0"/>
                <w:numId w:val="1"/>
              </w:numPr>
              <w:spacing w:line="240" w:lineRule="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报价公司必须具备该产品经营资质，并提供相应证照;</w:t>
            </w:r>
          </w:p>
          <w:p>
            <w:pPr>
              <w:pStyle w:val="6"/>
              <w:numPr>
                <w:ilvl w:val="0"/>
                <w:numId w:val="1"/>
              </w:numPr>
              <w:spacing w:line="240" w:lineRule="auto"/>
              <w:rPr>
                <w:rFonts w:hint="eastAsia" w:asciiTheme="minorEastAsia" w:hAnsiTheme="minorEastAsia" w:eastAsiaTheme="minorEastAsia" w:cstheme="minorEastAsia"/>
                <w:b w:val="0"/>
                <w:bCs/>
                <w:sz w:val="21"/>
                <w:szCs w:val="21"/>
              </w:rPr>
            </w:pPr>
            <w:r>
              <w:rPr>
                <w:rFonts w:hint="eastAsia" w:ascii="宋体" w:hAnsi="宋体"/>
                <w:b w:val="0"/>
                <w:bCs/>
                <w:szCs w:val="21"/>
                <w:lang w:eastAsia="zh-CN"/>
              </w:rPr>
              <w:t>本次询价耗材配套所需仪器为：具备三通道功能。</w:t>
            </w:r>
            <w:r>
              <w:rPr>
                <w:rFonts w:hint="eastAsia" w:ascii="宋体" w:hAnsi="宋体"/>
                <w:b w:val="0"/>
                <w:bCs/>
                <w:szCs w:val="21"/>
              </w:rPr>
              <w:t>投标人的投标文件必须标明所投货物的品牌与参数，保证原厂正品供货，提供相关资料等</w:t>
            </w:r>
            <w:r>
              <w:rPr>
                <w:rFonts w:hint="eastAsia" w:ascii="宋体" w:hAnsi="宋体"/>
                <w:b w:val="0"/>
                <w:bCs/>
                <w:szCs w:val="21"/>
                <w:lang w:eastAsia="zh-CN"/>
              </w:rPr>
              <w:t>；</w:t>
            </w:r>
          </w:p>
          <w:p>
            <w:pPr>
              <w:pStyle w:val="6"/>
              <w:numPr>
                <w:ilvl w:val="0"/>
                <w:numId w:val="1"/>
              </w:numPr>
              <w:spacing w:line="240" w:lineRule="auto"/>
              <w:rPr>
                <w:rFonts w:hint="eastAsia" w:asciiTheme="minorEastAsia" w:hAnsiTheme="minorEastAsia" w:eastAsiaTheme="minorEastAsia" w:cstheme="minorEastAsia"/>
                <w:b w:val="0"/>
                <w:bCs/>
                <w:sz w:val="21"/>
                <w:szCs w:val="21"/>
              </w:rPr>
            </w:pPr>
            <w:r>
              <w:rPr>
                <w:rFonts w:hint="eastAsia" w:ascii="宋体" w:hAnsi="宋体"/>
                <w:b w:val="0"/>
                <w:bCs/>
                <w:szCs w:val="21"/>
              </w:rPr>
              <w:t>标</w:t>
            </w:r>
            <w:r>
              <w:rPr>
                <w:rFonts w:hint="eastAsia" w:ascii="宋体" w:hAnsi="宋体"/>
                <w:b w:val="0"/>
                <w:bCs/>
                <w:szCs w:val="21"/>
                <w:lang w:eastAsia="zh-CN"/>
              </w:rPr>
              <w:t>“</w:t>
            </w:r>
            <w:r>
              <w:rPr>
                <w:rFonts w:hint="eastAsia" w:ascii="宋体" w:hAnsi="宋体"/>
                <w:b w:val="0"/>
                <w:bCs/>
                <w:szCs w:val="21"/>
              </w:rPr>
              <w:t>★</w:t>
            </w:r>
            <w:r>
              <w:rPr>
                <w:rFonts w:hint="eastAsia" w:ascii="宋体" w:hAnsi="宋体"/>
                <w:b w:val="0"/>
                <w:bCs/>
                <w:szCs w:val="21"/>
                <w:lang w:eastAsia="zh-CN"/>
              </w:rPr>
              <w:t>”</w:t>
            </w:r>
            <w:r>
              <w:rPr>
                <w:rFonts w:hint="eastAsia" w:ascii="宋体" w:hAnsi="宋体"/>
                <w:b w:val="0"/>
                <w:bCs/>
                <w:szCs w:val="21"/>
              </w:rPr>
              <w:t>项需提供技术证明文件之一（</w:t>
            </w:r>
            <w:r>
              <w:rPr>
                <w:rFonts w:hint="eastAsia"/>
                <w:b w:val="0"/>
                <w:bCs/>
                <w:color w:val="0C0C0C"/>
              </w:rPr>
              <w:t>医疗器械注册证、医疗器械注册登记表、第三方检测报告、产品技术白皮书、产品使用说明书</w:t>
            </w:r>
            <w:r>
              <w:rPr>
                <w:rFonts w:hint="eastAsia"/>
                <w:b w:val="0"/>
                <w:bCs/>
                <w:color w:val="0C0C0C"/>
                <w:lang w:eastAsia="zh-CN"/>
              </w:rPr>
              <w:t>等</w:t>
            </w:r>
            <w:r>
              <w:rPr>
                <w:rFonts w:hint="eastAsia" w:ascii="宋体" w:hAnsi="宋体"/>
                <w:b w:val="0"/>
                <w:bCs/>
                <w:szCs w:val="21"/>
              </w:rPr>
              <w:t>）予以证明</w:t>
            </w:r>
            <w:r>
              <w:rPr>
                <w:rFonts w:hint="eastAsia" w:ascii="宋体" w:hAnsi="宋体"/>
                <w:b w:val="0"/>
                <w:bCs/>
                <w:szCs w:val="21"/>
                <w:lang w:eastAsia="zh-CN"/>
              </w:rPr>
              <w:t>。</w:t>
            </w:r>
            <w:r>
              <w:rPr>
                <w:rFonts w:hint="eastAsia" w:asciiTheme="minorEastAsia" w:hAnsiTheme="minorEastAsia" w:eastAsiaTheme="minorEastAsia" w:cstheme="minorEastAsia"/>
                <w:b w:val="0"/>
                <w:bCs/>
                <w:sz w:val="21"/>
                <w:szCs w:val="21"/>
              </w:rPr>
              <w:t>所报产品必须满足附件</w:t>
            </w:r>
            <w:r>
              <w:rPr>
                <w:rFonts w:hint="eastAsia" w:asciiTheme="minorEastAsia" w:hAnsiTheme="minorEastAsia" w:cstheme="minorEastAsia"/>
                <w:b w:val="0"/>
                <w:bCs/>
                <w:sz w:val="21"/>
                <w:szCs w:val="21"/>
                <w:lang w:eastAsia="zh-CN"/>
              </w:rPr>
              <w:t>技术</w:t>
            </w:r>
            <w:r>
              <w:rPr>
                <w:rFonts w:hint="eastAsia" w:asciiTheme="minorEastAsia" w:hAnsiTheme="minorEastAsia" w:eastAsiaTheme="minorEastAsia" w:cstheme="minorEastAsia"/>
                <w:b w:val="0"/>
                <w:bCs/>
                <w:sz w:val="21"/>
                <w:szCs w:val="21"/>
              </w:rPr>
              <w:t>参数要求，否则视为废标</w:t>
            </w:r>
            <w:r>
              <w:rPr>
                <w:rFonts w:hint="eastAsia" w:asciiTheme="minorEastAsia" w:hAnsiTheme="minorEastAsia" w:cstheme="minorEastAsia"/>
                <w:b w:val="0"/>
                <w:bCs/>
                <w:sz w:val="21"/>
                <w:szCs w:val="21"/>
                <w:lang w:eastAsia="zh-CN"/>
              </w:rPr>
              <w:t>；</w:t>
            </w:r>
          </w:p>
          <w:p>
            <w:pPr>
              <w:numPr>
                <w:ilvl w:val="0"/>
                <w:numId w:val="1"/>
              </w:numPr>
              <w:ind w:left="357" w:leftChars="0" w:hanging="357" w:firstLineChars="0"/>
              <w:jc w:val="both"/>
              <w:rPr>
                <w:rFonts w:hint="eastAsia" w:ascii="Calibri" w:hAnsi="Calibri"/>
                <w:b w:val="0"/>
                <w:bCs/>
                <w:color w:val="0C0C0C"/>
                <w:szCs w:val="24"/>
              </w:rPr>
            </w:pPr>
            <w:r>
              <w:rPr>
                <w:rFonts w:hint="eastAsia" w:ascii="Calibri" w:hAnsi="Calibri"/>
                <w:b w:val="0"/>
                <w:bCs/>
                <w:color w:val="0C0C0C"/>
                <w:szCs w:val="24"/>
              </w:rPr>
              <w:t>投标人应承诺中标后</w:t>
            </w:r>
            <w:r>
              <w:rPr>
                <w:rFonts w:hint="eastAsia" w:ascii="Calibri" w:hAnsi="Calibri"/>
                <w:b w:val="0"/>
                <w:bCs/>
                <w:color w:val="0C0C0C"/>
                <w:szCs w:val="24"/>
                <w:lang w:eastAsia="zh-CN"/>
              </w:rPr>
              <w:t>按需</w:t>
            </w:r>
            <w:r>
              <w:rPr>
                <w:rFonts w:hint="eastAsia" w:ascii="Calibri" w:hAnsi="Calibri"/>
                <w:b w:val="0"/>
                <w:bCs/>
                <w:color w:val="0C0C0C"/>
                <w:szCs w:val="24"/>
              </w:rPr>
              <w:t>提供与中标耗材配套的使用工具及相应的配件【如动态心电记录仪（含无线数据终端）、电脑工作站（含电脑、动态心电图分析软件、远程遥测心电平台、打印机）</w:t>
            </w:r>
            <w:r>
              <w:rPr>
                <w:rFonts w:hint="eastAsia" w:ascii="Calibri" w:hAnsi="Calibri"/>
                <w:b w:val="0"/>
                <w:bCs/>
                <w:color w:val="0C0C0C"/>
                <w:szCs w:val="24"/>
                <w:lang w:eastAsia="zh-CN"/>
              </w:rPr>
              <w:t>等，并负责安装</w:t>
            </w:r>
            <w:r>
              <w:rPr>
                <w:rFonts w:hint="eastAsia" w:ascii="Calibri" w:hAnsi="Calibri"/>
                <w:b w:val="0"/>
                <w:bCs/>
                <w:color w:val="0C0C0C"/>
                <w:szCs w:val="24"/>
              </w:rPr>
              <w:t>】（</w:t>
            </w:r>
            <w:r>
              <w:rPr>
                <w:rFonts w:hint="eastAsia" w:ascii="Calibri" w:hAnsi="Calibri"/>
                <w:b w:val="0"/>
                <w:bCs/>
                <w:color w:val="0C0C0C"/>
                <w:szCs w:val="24"/>
                <w:lang w:eastAsia="zh-CN"/>
              </w:rPr>
              <w:t>投标人应考虑</w:t>
            </w:r>
            <w:r>
              <w:rPr>
                <w:rFonts w:hint="eastAsia" w:ascii="Calibri" w:hAnsi="Calibri"/>
                <w:b w:val="0"/>
                <w:bCs/>
                <w:color w:val="0C0C0C"/>
                <w:szCs w:val="24"/>
              </w:rPr>
              <w:t>此项费用</w:t>
            </w:r>
            <w:r>
              <w:rPr>
                <w:rFonts w:hint="eastAsia" w:ascii="Calibri" w:hAnsi="Calibri"/>
                <w:b w:val="0"/>
                <w:bCs/>
                <w:color w:val="0C0C0C"/>
                <w:szCs w:val="24"/>
                <w:lang w:eastAsia="zh-CN"/>
              </w:rPr>
              <w:t>，</w:t>
            </w:r>
            <w:r>
              <w:rPr>
                <w:rFonts w:hint="eastAsia" w:asciiTheme="minorEastAsia" w:hAnsiTheme="minorEastAsia" w:cstheme="minorEastAsia"/>
                <w:b w:val="0"/>
                <w:bCs/>
                <w:sz w:val="21"/>
                <w:szCs w:val="21"/>
                <w:lang w:eastAsia="zh-CN"/>
              </w:rPr>
              <w:t>招标人不再另行支付</w:t>
            </w:r>
            <w:r>
              <w:rPr>
                <w:rFonts w:hint="eastAsia" w:ascii="Calibri" w:hAnsi="Calibri"/>
                <w:b w:val="0"/>
                <w:bCs/>
                <w:color w:val="0C0C0C"/>
                <w:szCs w:val="24"/>
              </w:rPr>
              <w:t>）；</w:t>
            </w:r>
            <w:r>
              <w:rPr>
                <w:rFonts w:hint="eastAsia" w:ascii="Calibri" w:hAnsi="Calibri"/>
                <w:b w:val="0"/>
                <w:bCs/>
                <w:color w:val="0C0C0C"/>
                <w:szCs w:val="24"/>
                <w:lang w:eastAsia="zh-CN"/>
              </w:rPr>
              <w:t>投标人须</w:t>
            </w:r>
            <w:r>
              <w:rPr>
                <w:rFonts w:hint="eastAsia" w:ascii="Calibri" w:hAnsi="Calibri"/>
                <w:b w:val="0"/>
                <w:bCs/>
                <w:color w:val="0C0C0C"/>
                <w:szCs w:val="24"/>
              </w:rPr>
              <w:t>提供承诺函</w:t>
            </w:r>
            <w:r>
              <w:rPr>
                <w:rFonts w:hint="eastAsia" w:ascii="Calibri" w:hAnsi="Calibri"/>
                <w:b w:val="0"/>
                <w:bCs/>
                <w:color w:val="0C0C0C"/>
                <w:szCs w:val="24"/>
                <w:lang w:eastAsia="zh-CN"/>
              </w:rPr>
              <w:t>（</w:t>
            </w:r>
            <w:r>
              <w:rPr>
                <w:rFonts w:hint="eastAsia" w:ascii="Calibri" w:hAnsi="Calibri"/>
                <w:b w:val="0"/>
                <w:bCs/>
                <w:color w:val="0C0C0C"/>
                <w:szCs w:val="24"/>
              </w:rPr>
              <w:t>加盖投标人公章</w:t>
            </w:r>
            <w:r>
              <w:rPr>
                <w:rFonts w:hint="eastAsia" w:ascii="Calibri" w:hAnsi="Calibri"/>
                <w:b w:val="0"/>
                <w:bCs/>
                <w:color w:val="0C0C0C"/>
                <w:szCs w:val="24"/>
                <w:lang w:eastAsia="zh-CN"/>
              </w:rPr>
              <w:t>）</w:t>
            </w:r>
            <w:r>
              <w:rPr>
                <w:rFonts w:hint="eastAsia" w:ascii="Calibri" w:hAnsi="Calibri"/>
                <w:b w:val="0"/>
                <w:bCs/>
                <w:color w:val="0C0C0C"/>
                <w:szCs w:val="24"/>
              </w:rPr>
              <w:t>；</w:t>
            </w:r>
          </w:p>
          <w:p>
            <w:pPr>
              <w:numPr>
                <w:ilvl w:val="0"/>
                <w:numId w:val="1"/>
              </w:numPr>
              <w:ind w:left="357" w:leftChars="0" w:hanging="357" w:firstLineChars="0"/>
              <w:jc w:val="both"/>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cstheme="minorEastAsia"/>
                <w:b w:val="0"/>
                <w:bCs/>
                <w:sz w:val="21"/>
                <w:szCs w:val="21"/>
                <w:lang w:val="en-US" w:eastAsia="zh-CN"/>
              </w:rPr>
              <w:t>耗材配送合同期内，仪器由配送公司免费维保（包含换件）</w:t>
            </w:r>
            <w:bookmarkStart w:id="0" w:name="_GoBack"/>
            <w:bookmarkEnd w:id="0"/>
            <w:r>
              <w:rPr>
                <w:rFonts w:hint="eastAsia" w:asciiTheme="minorEastAsia" w:hAnsiTheme="minorEastAsia" w:cstheme="minorEastAsia"/>
                <w:b w:val="0"/>
                <w:bCs/>
                <w:sz w:val="21"/>
                <w:szCs w:val="21"/>
                <w:lang w:eastAsia="zh-CN"/>
              </w:rPr>
              <w:t>。</w:t>
            </w:r>
          </w:p>
          <w:p>
            <w:pPr>
              <w:pStyle w:val="6"/>
              <w:numPr>
                <w:ilvl w:val="0"/>
                <w:numId w:val="0"/>
              </w:numPr>
              <w:spacing w:line="240" w:lineRule="auto"/>
              <w:ind w:leftChars="0"/>
              <w:rPr>
                <w:rFonts w:hint="eastAsia" w:asciiTheme="minorEastAsia" w:hAnsiTheme="minorEastAsia" w:eastAsiaTheme="minorEastAsia" w:cstheme="minorEastAsia"/>
                <w:b w:val="0"/>
                <w:bCs/>
                <w:sz w:val="24"/>
                <w:szCs w:val="24"/>
                <w:lang w:val="en-US" w:eastAsia="zh-CN"/>
              </w:rPr>
            </w:pPr>
          </w:p>
        </w:tc>
      </w:tr>
    </w:tbl>
    <w:p>
      <w:pPr>
        <w:rPr>
          <w:rFonts w:hint="eastAsia"/>
          <w:b w:val="0"/>
          <w:bCs/>
          <w:sz w:val="32"/>
          <w:szCs w:val="32"/>
        </w:rPr>
      </w:pPr>
    </w:p>
    <w:p>
      <w:pPr>
        <w:rPr>
          <w:rFonts w:hint="eastAsia"/>
          <w:b w:val="0"/>
          <w:bCs/>
          <w:sz w:val="28"/>
          <w:szCs w:val="28"/>
        </w:rPr>
      </w:pPr>
      <w:r>
        <w:rPr>
          <w:rFonts w:hint="eastAsia"/>
          <w:b w:val="0"/>
          <w:bCs/>
          <w:sz w:val="28"/>
          <w:szCs w:val="28"/>
        </w:rPr>
        <w:t>报价单位：</w:t>
      </w:r>
      <w:r>
        <w:rPr>
          <w:rFonts w:hint="eastAsia"/>
          <w:b w:val="0"/>
          <w:bCs/>
          <w:sz w:val="28"/>
          <w:szCs w:val="28"/>
          <w:u w:val="single"/>
        </w:rPr>
        <w:t xml:space="preserve">               </w:t>
      </w:r>
      <w:r>
        <w:rPr>
          <w:rFonts w:hint="eastAsia"/>
          <w:b w:val="0"/>
          <w:bCs/>
          <w:sz w:val="28"/>
          <w:szCs w:val="28"/>
        </w:rPr>
        <w:t>（盖章）</w:t>
      </w:r>
    </w:p>
    <w:p>
      <w:pPr>
        <w:rPr>
          <w:rFonts w:hint="eastAsia"/>
          <w:b w:val="0"/>
          <w:bCs/>
          <w:sz w:val="32"/>
          <w:szCs w:val="32"/>
          <w:lang w:val="en-US" w:eastAsia="zh-CN"/>
        </w:rPr>
      </w:pPr>
      <w:r>
        <w:rPr>
          <w:rFonts w:hint="eastAsia"/>
          <w:b w:val="0"/>
          <w:bCs/>
          <w:sz w:val="32"/>
          <w:szCs w:val="32"/>
          <w:lang w:val="en-US" w:eastAsia="zh-CN"/>
        </w:rPr>
        <w:t xml:space="preserve">                                     </w:t>
      </w:r>
      <w:r>
        <w:rPr>
          <w:rFonts w:hint="eastAsia"/>
          <w:b w:val="0"/>
          <w:bCs/>
          <w:sz w:val="28"/>
          <w:szCs w:val="28"/>
          <w:lang w:val="en-US" w:eastAsia="zh-CN"/>
        </w:rPr>
        <w:t xml:space="preserve"> 年   月   日</w:t>
      </w:r>
    </w:p>
    <w:p>
      <w:pPr>
        <w:pStyle w:val="6"/>
        <w:spacing w:line="240" w:lineRule="auto"/>
        <w:ind w:left="0" w:leftChars="0" w:firstLine="0" w:firstLineChars="0"/>
        <w:jc w:val="both"/>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重要提示：</w:t>
      </w:r>
    </w:p>
    <w:p>
      <w:pPr>
        <w:pStyle w:val="6"/>
        <w:numPr>
          <w:ilvl w:val="0"/>
          <w:numId w:val="2"/>
        </w:numPr>
        <w:spacing w:line="240" w:lineRule="auto"/>
        <w:ind w:left="0" w:leftChars="0" w:firstLine="0" w:firstLineChars="0"/>
        <w:jc w:val="both"/>
        <w:rPr>
          <w:rFonts w:hint="eastAsia" w:asciiTheme="minorEastAsia" w:hAnsiTheme="minorEastAsia" w:cstheme="minorEastAsia"/>
          <w:b w:val="0"/>
          <w:bCs w:val="0"/>
          <w:sz w:val="24"/>
          <w:szCs w:val="24"/>
          <w:lang w:val="en-US" w:eastAsia="zh-CN"/>
        </w:rPr>
      </w:pPr>
      <w:r>
        <w:rPr>
          <w:rFonts w:hint="eastAsia" w:ascii="宋体" w:hAnsi="宋体"/>
          <w:b w:val="0"/>
          <w:bCs/>
          <w:sz w:val="24"/>
          <w:szCs w:val="24"/>
        </w:rPr>
        <w:t>标</w:t>
      </w:r>
      <w:r>
        <w:rPr>
          <w:rFonts w:hint="eastAsia" w:ascii="宋体" w:hAnsi="宋体"/>
          <w:b w:val="0"/>
          <w:bCs/>
          <w:sz w:val="24"/>
          <w:szCs w:val="24"/>
          <w:lang w:eastAsia="zh-CN"/>
        </w:rPr>
        <w:t>注“</w:t>
      </w:r>
      <w:r>
        <w:rPr>
          <w:rFonts w:hint="eastAsia" w:ascii="宋体" w:hAnsi="宋体"/>
          <w:b w:val="0"/>
          <w:bCs/>
          <w:sz w:val="24"/>
          <w:szCs w:val="24"/>
        </w:rPr>
        <w:t>★</w:t>
      </w:r>
      <w:r>
        <w:rPr>
          <w:rFonts w:hint="eastAsia" w:ascii="宋体" w:hAnsi="宋体"/>
          <w:b w:val="0"/>
          <w:bCs/>
          <w:sz w:val="24"/>
          <w:szCs w:val="24"/>
          <w:lang w:eastAsia="zh-CN"/>
        </w:rPr>
        <w:t>”</w:t>
      </w:r>
      <w:r>
        <w:rPr>
          <w:rFonts w:hint="eastAsia" w:ascii="宋体" w:hAnsi="宋体"/>
          <w:b w:val="0"/>
          <w:bCs/>
          <w:sz w:val="24"/>
          <w:szCs w:val="24"/>
        </w:rPr>
        <w:t>项</w:t>
      </w:r>
      <w:r>
        <w:rPr>
          <w:rFonts w:hint="eastAsia" w:ascii="宋体" w:hAnsi="宋体"/>
          <w:b w:val="0"/>
          <w:bCs/>
          <w:sz w:val="24"/>
          <w:szCs w:val="24"/>
          <w:lang w:eastAsia="zh-CN"/>
        </w:rPr>
        <w:t>均</w:t>
      </w:r>
      <w:r>
        <w:rPr>
          <w:rFonts w:hint="eastAsia" w:ascii="宋体" w:hAnsi="宋体"/>
          <w:b w:val="0"/>
          <w:bCs/>
          <w:sz w:val="24"/>
          <w:szCs w:val="24"/>
        </w:rPr>
        <w:t>需提供技术证明文件之一（</w:t>
      </w:r>
      <w:r>
        <w:rPr>
          <w:rFonts w:hint="eastAsia"/>
          <w:b w:val="0"/>
          <w:bCs/>
          <w:color w:val="0C0C0C"/>
          <w:sz w:val="24"/>
          <w:szCs w:val="24"/>
        </w:rPr>
        <w:t>医疗器械注册证、医疗器械注册登记表、第三方检测报告、产品技术白皮书、产品使用说明书</w:t>
      </w:r>
      <w:r>
        <w:rPr>
          <w:rFonts w:hint="eastAsia"/>
          <w:b w:val="0"/>
          <w:bCs/>
          <w:color w:val="0C0C0C"/>
          <w:sz w:val="24"/>
          <w:szCs w:val="24"/>
          <w:lang w:eastAsia="zh-CN"/>
        </w:rPr>
        <w:t>等</w:t>
      </w:r>
      <w:r>
        <w:rPr>
          <w:rFonts w:hint="eastAsia" w:ascii="宋体" w:hAnsi="宋体"/>
          <w:b w:val="0"/>
          <w:bCs/>
          <w:sz w:val="24"/>
          <w:szCs w:val="24"/>
        </w:rPr>
        <w:t>）予以证明</w:t>
      </w:r>
      <w:r>
        <w:rPr>
          <w:rFonts w:hint="eastAsia" w:ascii="宋体" w:hAnsi="宋体"/>
          <w:b/>
          <w:sz w:val="24"/>
          <w:szCs w:val="24"/>
        </w:rPr>
        <w:t>。</w:t>
      </w:r>
    </w:p>
    <w:p>
      <w:pPr>
        <w:pStyle w:val="6"/>
        <w:numPr>
          <w:ilvl w:val="0"/>
          <w:numId w:val="2"/>
        </w:numPr>
        <w:spacing w:line="240" w:lineRule="auto"/>
        <w:ind w:left="0" w:leftChars="0" w:firstLine="0" w:firstLineChars="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i w:val="0"/>
          <w:iCs w:val="0"/>
          <w:caps w:val="0"/>
          <w:color w:val="333333"/>
          <w:spacing w:val="0"/>
          <w:sz w:val="24"/>
          <w:szCs w:val="24"/>
          <w:shd w:val="clear" w:fill="FFFFFF"/>
        </w:rPr>
        <w:t>自合同签订之日起至供货及安装调试验收合格交付使用</w:t>
      </w:r>
      <w:r>
        <w:rPr>
          <w:rFonts w:hint="eastAsia" w:asciiTheme="minorEastAsia" w:hAnsiTheme="minorEastAsia" w:cstheme="minorEastAsia"/>
          <w:i w:val="0"/>
          <w:iCs w:val="0"/>
          <w:caps w:val="0"/>
          <w:color w:val="333333"/>
          <w:spacing w:val="0"/>
          <w:sz w:val="24"/>
          <w:szCs w:val="24"/>
          <w:shd w:val="clear" w:fill="FFFFFF"/>
          <w:lang w:eastAsia="zh-CN"/>
        </w:rPr>
        <w:t>为</w:t>
      </w:r>
      <w:r>
        <w:rPr>
          <w:rFonts w:hint="eastAsia" w:asciiTheme="minorEastAsia" w:hAnsiTheme="minorEastAsia" w:cstheme="minorEastAsia"/>
          <w:b/>
          <w:bCs/>
          <w:i w:val="0"/>
          <w:iCs w:val="0"/>
          <w:caps w:val="0"/>
          <w:color w:val="333333"/>
          <w:spacing w:val="0"/>
          <w:sz w:val="24"/>
          <w:szCs w:val="24"/>
          <w:shd w:val="clear" w:fill="FFFFFF"/>
          <w:lang w:val="en-US" w:eastAsia="zh-CN"/>
        </w:rPr>
        <w:t>7</w:t>
      </w:r>
      <w:r>
        <w:rPr>
          <w:rFonts w:hint="eastAsia" w:asciiTheme="minorEastAsia" w:hAnsiTheme="minorEastAsia" w:eastAsiaTheme="minorEastAsia" w:cstheme="minorEastAsia"/>
          <w:i w:val="0"/>
          <w:iCs w:val="0"/>
          <w:caps w:val="0"/>
          <w:color w:val="333333"/>
          <w:spacing w:val="0"/>
          <w:sz w:val="24"/>
          <w:szCs w:val="24"/>
          <w:shd w:val="clear" w:fill="FFFFFF"/>
        </w:rPr>
        <w:t>个工作日</w:t>
      </w:r>
      <w:r>
        <w:rPr>
          <w:rFonts w:hint="eastAsia" w:asciiTheme="minorEastAsia" w:hAnsiTheme="minorEastAsia" w:cstheme="minorEastAsia"/>
          <w:i w:val="0"/>
          <w:iCs w:val="0"/>
          <w:caps w:val="0"/>
          <w:color w:val="333333"/>
          <w:spacing w:val="0"/>
          <w:sz w:val="24"/>
          <w:szCs w:val="24"/>
          <w:shd w:val="clear" w:fill="FFFFFF"/>
          <w:lang w:eastAsia="zh-CN"/>
        </w:rPr>
        <w:t>，耗材配送合同期内仪器维保（含更换配件），由中标人免费提供。</w:t>
      </w:r>
    </w:p>
    <w:p>
      <w:pPr>
        <w:pStyle w:val="6"/>
        <w:numPr>
          <w:ilvl w:val="0"/>
          <w:numId w:val="2"/>
        </w:numPr>
        <w:spacing w:line="240" w:lineRule="auto"/>
        <w:ind w:left="0" w:leftChars="0" w:firstLine="0" w:firstLineChars="0"/>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耗材（及配套配件）试用期为一个月。</w:t>
      </w:r>
    </w:p>
    <w:p>
      <w:pPr>
        <w:pStyle w:val="6"/>
        <w:numPr>
          <w:ilvl w:val="0"/>
          <w:numId w:val="2"/>
        </w:numPr>
        <w:spacing w:line="240" w:lineRule="auto"/>
        <w:ind w:left="0" w:leftChars="0" w:firstLine="0" w:firstLineChars="0"/>
        <w:jc w:val="both"/>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仪器安装完成后，须对使用科室人员进行操作及相关规范化培训。</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B136CF"/>
    <w:multiLevelType w:val="singleLevel"/>
    <w:tmpl w:val="B9B136CF"/>
    <w:lvl w:ilvl="0" w:tentative="0">
      <w:start w:val="1"/>
      <w:numFmt w:val="decimal"/>
      <w:suff w:val="nothing"/>
      <w:lvlText w:val="%1、"/>
      <w:lvlJc w:val="left"/>
    </w:lvl>
  </w:abstractNum>
  <w:abstractNum w:abstractNumId="1">
    <w:nsid w:val="4CE9B6DA"/>
    <w:multiLevelType w:val="singleLevel"/>
    <w:tmpl w:val="4CE9B6DA"/>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lMTFmYjRiZDJlNzFmMmVkYTM5MWY2YTg1MTI3ZDMifQ=="/>
  </w:docVars>
  <w:rsids>
    <w:rsidRoot w:val="02E8565D"/>
    <w:rsid w:val="02E8565D"/>
    <w:rsid w:val="06281227"/>
    <w:rsid w:val="08675127"/>
    <w:rsid w:val="131C4CCA"/>
    <w:rsid w:val="4D480C45"/>
    <w:rsid w:val="50FC2853"/>
    <w:rsid w:val="58EA2176"/>
    <w:rsid w:val="63E55804"/>
    <w:rsid w:val="72437E3A"/>
    <w:rsid w:val="7A2013D6"/>
    <w:rsid w:val="7C1E3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正文 New"/>
    <w:basedOn w:val="1"/>
    <w:qFormat/>
    <w:uiPriority w:val="0"/>
    <w:pPr>
      <w:spacing w:before="100" w:beforeAutospacing="1" w:after="100" w:afterAutospacing="1" w:line="440" w:lineRule="exact"/>
      <w:ind w:left="357" w:hanging="357"/>
    </w:pPr>
    <w:rPr>
      <w:rFonts w:ascii="Times New Roman" w:hAnsi="Times New Roman"/>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1165</Words>
  <Characters>1276</Characters>
  <Lines>0</Lines>
  <Paragraphs>0</Paragraphs>
  <TotalTime>30</TotalTime>
  <ScaleCrop>false</ScaleCrop>
  <LinksUpToDate>false</LinksUpToDate>
  <CharactersWithSpaces>1355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2022-05-30T07:15:00Z</dcterms:created>
  <dc:creator>Administrator</dc:creator>
  <cp:lastModifiedBy>Administrator</cp:lastModifiedBy>
  <cp:lastPrinted>2022-07-19T00:07:00Z</cp:lastPrinted>
  <dcterms:modified xsi:type="dcterms:W3CDTF">2022-07-19T01:23:13Z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CBA9B0C01A9149AAA92E5C0DAB2624DD</vt:lpwstr>
  </property>
</Properties>
</file>