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jc w:val="center"/>
        <w:rPr>
          <w:rFonts w:hint="eastAsia" w:asciiTheme="majorEastAsia" w:hAnsiTheme="majorEastAsia" w:eastAsiaTheme="majorEastAsia" w:cstheme="majorEastAsia"/>
          <w:sz w:val="30"/>
          <w:szCs w:val="30"/>
          <w:lang w:val="en-US" w:eastAsia="zh-CN"/>
        </w:rPr>
      </w:pPr>
      <w:bookmarkStart w:id="0" w:name="_GoBack"/>
      <w:bookmarkEnd w:id="0"/>
      <w:r>
        <w:rPr>
          <w:rFonts w:hint="eastAsia" w:asciiTheme="majorEastAsia" w:hAnsiTheme="majorEastAsia" w:eastAsiaTheme="majorEastAsia" w:cstheme="majorEastAsia"/>
          <w:sz w:val="30"/>
          <w:szCs w:val="30"/>
          <w:lang w:val="en-US" w:eastAsia="zh-CN"/>
        </w:rPr>
        <w:t>潜山市立医院</w:t>
      </w:r>
      <w:r>
        <w:rPr>
          <w:rFonts w:hint="eastAsia" w:asciiTheme="majorEastAsia" w:hAnsiTheme="majorEastAsia" w:eastAsiaTheme="majorEastAsia" w:cstheme="majorEastAsia"/>
          <w:sz w:val="30"/>
          <w:szCs w:val="30"/>
        </w:rPr>
        <w:t>手术麻醉系统硬件</w:t>
      </w:r>
      <w:r>
        <w:rPr>
          <w:rFonts w:hint="eastAsia" w:asciiTheme="majorEastAsia" w:hAnsiTheme="majorEastAsia" w:eastAsiaTheme="majorEastAsia" w:cstheme="majorEastAsia"/>
          <w:sz w:val="30"/>
          <w:szCs w:val="30"/>
          <w:lang w:val="en-US" w:eastAsia="zh-CN"/>
        </w:rPr>
        <w:t>采购清单</w:t>
      </w:r>
    </w:p>
    <w:p>
      <w:pPr>
        <w:jc w:val="center"/>
        <w:rPr>
          <w:rFonts w:hint="eastAsia" w:asciiTheme="majorEastAsia" w:hAnsiTheme="majorEastAsia" w:eastAsiaTheme="majorEastAsia" w:cstheme="majorEastAsia"/>
          <w:sz w:val="30"/>
          <w:szCs w:val="30"/>
          <w:lang w:val="en-US" w:eastAsia="zh-CN"/>
        </w:rPr>
      </w:pPr>
    </w:p>
    <w:tbl>
      <w:tblPr>
        <w:tblStyle w:val="4"/>
        <w:tblW w:w="10600" w:type="dxa"/>
        <w:tblInd w:w="-885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993"/>
        <w:gridCol w:w="5103"/>
        <w:gridCol w:w="1276"/>
        <w:gridCol w:w="987"/>
        <w:gridCol w:w="856"/>
        <w:gridCol w:w="1385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8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名称</w:t>
            </w:r>
          </w:p>
        </w:tc>
        <w:tc>
          <w:tcPr>
            <w:tcW w:w="5103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配置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位置与作用</w:t>
            </w:r>
          </w:p>
        </w:tc>
        <w:tc>
          <w:tcPr>
            <w:tcW w:w="987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数量</w:t>
            </w:r>
          </w:p>
        </w:tc>
        <w:tc>
          <w:tcPr>
            <w:tcW w:w="856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价格</w:t>
            </w:r>
          </w:p>
        </w:tc>
        <w:tc>
          <w:tcPr>
            <w:tcW w:w="1385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  <w:lang w:val="en-US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  <w:lang w:val="en-US" w:eastAsia="zh-CN"/>
              </w:rPr>
              <w:t>推荐品牌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99" w:hRule="atLeast"/>
        </w:trPr>
        <w:tc>
          <w:tcPr>
            <w:tcW w:w="993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电脑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</w:p>
        </w:tc>
        <w:tc>
          <w:tcPr>
            <w:tcW w:w="5103" w:type="dxa"/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szCs w:val="21"/>
                <w:lang w:eastAsia="zh-CN"/>
              </w:rPr>
            </w:pPr>
          </w:p>
          <w:p>
            <w:pPr>
              <w:jc w:val="left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CPU：酷睿I5-9400/8G/1T+</w:t>
            </w:r>
            <w:r>
              <w:rPr>
                <w:rFonts w:hint="eastAsia" w:asciiTheme="majorEastAsia" w:hAnsiTheme="majorEastAsia" w:eastAsiaTheme="majorEastAsia" w:cstheme="majorEastAsia"/>
                <w:szCs w:val="21"/>
                <w:lang w:val="en-US" w:eastAsia="zh-CN"/>
              </w:rPr>
              <w:t>240</w:t>
            </w: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G固态硬盘 /PCI  /</w:t>
            </w:r>
          </w:p>
          <w:p>
            <w:pPr>
              <w:jc w:val="left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I/0：1个RS232串口，</w:t>
            </w:r>
            <w:r>
              <w:rPr>
                <w:rFonts w:hint="eastAsia" w:asciiTheme="majorEastAsia" w:hAnsiTheme="majorEastAsia" w:eastAsiaTheme="majorEastAsia" w:cstheme="majorEastAsia"/>
                <w:szCs w:val="21"/>
                <w:lang w:val="en-US" w:eastAsia="zh-CN"/>
              </w:rPr>
              <w:t>1</w:t>
            </w: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个RJ45有线网口</w:t>
            </w:r>
          </w:p>
          <w:p>
            <w:pPr>
              <w:jc w:val="left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操作系统：windows 7/10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lang w:eastAsia="zh-CN"/>
              </w:rPr>
              <w:t>（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lang w:val="en-US" w:eastAsia="zh-CN"/>
              </w:rPr>
              <w:t>报价不含显示器</w:t>
            </w:r>
            <w:r>
              <w:rPr>
                <w:rFonts w:hint="eastAsia" w:asciiTheme="majorEastAsia" w:hAnsiTheme="majorEastAsia" w:eastAsiaTheme="majorEastAsia" w:cstheme="majorEastAsia"/>
                <w:b/>
                <w:bCs/>
                <w:sz w:val="28"/>
                <w:szCs w:val="28"/>
                <w:lang w:eastAsia="zh-CN"/>
              </w:rPr>
              <w:t>）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手术间使用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</w:p>
        </w:tc>
        <w:tc>
          <w:tcPr>
            <w:tcW w:w="987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  <w:lang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11</w:t>
            </w:r>
            <w:r>
              <w:rPr>
                <w:rFonts w:hint="eastAsia" w:asciiTheme="majorEastAsia" w:hAnsiTheme="majorEastAsia" w:eastAsiaTheme="majorEastAsia" w:cstheme="majorEastAsia"/>
                <w:szCs w:val="21"/>
                <w:lang w:eastAsia="zh-CN"/>
              </w:rPr>
              <w:t>（</w:t>
            </w:r>
            <w:r>
              <w:rPr>
                <w:rFonts w:hint="eastAsia" w:asciiTheme="majorEastAsia" w:hAnsiTheme="majorEastAsia" w:eastAsiaTheme="majorEastAsia" w:cstheme="majorEastAsia"/>
                <w:szCs w:val="21"/>
                <w:lang w:val="en-US" w:eastAsia="zh-CN"/>
              </w:rPr>
              <w:t>台</w:t>
            </w:r>
            <w:r>
              <w:rPr>
                <w:rFonts w:hint="eastAsia" w:asciiTheme="majorEastAsia" w:hAnsiTheme="majorEastAsia" w:eastAsiaTheme="majorEastAsia" w:cstheme="majorEastAsia"/>
                <w:szCs w:val="21"/>
                <w:lang w:eastAsia="zh-CN"/>
              </w:rPr>
              <w:t>）</w:t>
            </w:r>
          </w:p>
        </w:tc>
        <w:tc>
          <w:tcPr>
            <w:tcW w:w="856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</w:p>
        </w:tc>
        <w:tc>
          <w:tcPr>
            <w:tcW w:w="1385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  <w:lang w:val="en-US" w:eastAsia="zh-CN"/>
              </w:rPr>
              <w:t>惠普、联想、戴尔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液晶大屏</w:t>
            </w:r>
          </w:p>
        </w:tc>
        <w:tc>
          <w:tcPr>
            <w:tcW w:w="5103" w:type="dxa"/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液晶电视（窄边）60英寸</w:t>
            </w:r>
          </w:p>
          <w:p>
            <w:pPr>
              <w:jc w:val="left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支持VGA/HDMI高清输出</w:t>
            </w:r>
          </w:p>
          <w:p>
            <w:pPr>
              <w:jc w:val="left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产品品类：LCD屏幕尺寸：分辨率：1920 x 1080</w:t>
            </w:r>
          </w:p>
          <w:p>
            <w:pPr>
              <w:jc w:val="left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内置扬声器：有</w:t>
            </w:r>
          </w:p>
          <w:p>
            <w:pPr>
              <w:jc w:val="left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内置扬声器数量：2个</w:t>
            </w:r>
          </w:p>
          <w:p>
            <w:pPr>
              <w:jc w:val="left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机身接口： HDMI，DVI，VGA，音频输出端子×1，PC输入×1，USB端口×1</w:t>
            </w:r>
          </w:p>
          <w:p>
            <w:pPr>
              <w:jc w:val="left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电源功耗：250w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用于手术排班大屏</w:t>
            </w:r>
          </w:p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用于家属等待大屏</w:t>
            </w:r>
          </w:p>
        </w:tc>
        <w:tc>
          <w:tcPr>
            <w:tcW w:w="987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2</w:t>
            </w:r>
            <w:r>
              <w:rPr>
                <w:rFonts w:hint="eastAsia" w:asciiTheme="majorEastAsia" w:hAnsiTheme="majorEastAsia" w:eastAsiaTheme="majorEastAsia" w:cstheme="majorEastAsia"/>
                <w:szCs w:val="21"/>
                <w:lang w:eastAsia="zh-CN"/>
              </w:rPr>
              <w:t>（</w:t>
            </w:r>
            <w:r>
              <w:rPr>
                <w:rFonts w:hint="eastAsia" w:asciiTheme="majorEastAsia" w:hAnsiTheme="majorEastAsia" w:eastAsiaTheme="majorEastAsia" w:cstheme="majorEastAsia"/>
                <w:szCs w:val="21"/>
                <w:lang w:val="en-US" w:eastAsia="zh-CN"/>
              </w:rPr>
              <w:t>台</w:t>
            </w:r>
            <w:r>
              <w:rPr>
                <w:rFonts w:hint="eastAsia" w:asciiTheme="majorEastAsia" w:hAnsiTheme="majorEastAsia" w:eastAsiaTheme="majorEastAsia" w:cstheme="majorEastAsia"/>
                <w:szCs w:val="21"/>
                <w:lang w:eastAsia="zh-CN"/>
              </w:rPr>
              <w:t>）</w:t>
            </w:r>
          </w:p>
        </w:tc>
        <w:tc>
          <w:tcPr>
            <w:tcW w:w="856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</w:p>
        </w:tc>
        <w:tc>
          <w:tcPr>
            <w:tcW w:w="1385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海信</w:t>
            </w:r>
            <w:r>
              <w:rPr>
                <w:rFonts w:hint="eastAsia" w:asciiTheme="majorEastAsia" w:hAnsiTheme="majorEastAsia" w:eastAsiaTheme="majorEastAsia" w:cstheme="majorEastAsia"/>
                <w:szCs w:val="21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szCs w:val="21"/>
                <w:lang w:val="en-US" w:eastAsia="zh-CN"/>
              </w:rPr>
              <w:t>创维、长虹、TCL</w:t>
            </w: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 xml:space="preserve"> 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瘦客户机</w:t>
            </w:r>
          </w:p>
        </w:tc>
        <w:tc>
          <w:tcPr>
            <w:tcW w:w="5103" w:type="dxa"/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瘦客户机CPU：intel 2.3GHz /4GB/128GB固态硬盘/1000M/VGA and DP带四串口和一并口</w:t>
            </w:r>
          </w:p>
          <w:p>
            <w:pPr>
              <w:jc w:val="left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I/0：双头显卡（与电视机配套接口HDMI/DVI/VGA），1个RJ45有线网口/操作系统：windows 7/中国大陆三年原厂有限维保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</w:p>
        </w:tc>
        <w:tc>
          <w:tcPr>
            <w:tcW w:w="987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2</w:t>
            </w:r>
            <w:r>
              <w:rPr>
                <w:rFonts w:hint="eastAsia" w:asciiTheme="majorEastAsia" w:hAnsiTheme="majorEastAsia" w:eastAsiaTheme="majorEastAsia" w:cstheme="majorEastAsia"/>
                <w:szCs w:val="21"/>
                <w:lang w:eastAsia="zh-CN"/>
              </w:rPr>
              <w:t>（</w:t>
            </w:r>
            <w:r>
              <w:rPr>
                <w:rFonts w:hint="eastAsia" w:asciiTheme="majorEastAsia" w:hAnsiTheme="majorEastAsia" w:eastAsiaTheme="majorEastAsia" w:cstheme="majorEastAsia"/>
                <w:szCs w:val="21"/>
                <w:lang w:val="en-US" w:eastAsia="zh-CN"/>
              </w:rPr>
              <w:t>台</w:t>
            </w:r>
            <w:r>
              <w:rPr>
                <w:rFonts w:hint="eastAsia" w:asciiTheme="majorEastAsia" w:hAnsiTheme="majorEastAsia" w:eastAsiaTheme="majorEastAsia" w:cstheme="majorEastAsia"/>
                <w:szCs w:val="21"/>
                <w:lang w:eastAsia="zh-CN"/>
              </w:rPr>
              <w:t>）</w:t>
            </w:r>
          </w:p>
        </w:tc>
        <w:tc>
          <w:tcPr>
            <w:tcW w:w="856" w:type="dxa"/>
            <w:vMerge w:val="restart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</w:p>
        </w:tc>
        <w:tc>
          <w:tcPr>
            <w:tcW w:w="1385" w:type="dxa"/>
            <w:vMerge w:val="restart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  <w:lang w:val="en-US" w:eastAsia="zh-CN"/>
              </w:rPr>
              <w:t>华为，联想、惠普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高清线</w:t>
            </w:r>
          </w:p>
        </w:tc>
        <w:tc>
          <w:tcPr>
            <w:tcW w:w="5103" w:type="dxa"/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HDMI线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瘦客户机与电视对接</w:t>
            </w:r>
          </w:p>
        </w:tc>
        <w:tc>
          <w:tcPr>
            <w:tcW w:w="987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2</w:t>
            </w:r>
            <w:r>
              <w:rPr>
                <w:rFonts w:hint="eastAsia" w:asciiTheme="majorEastAsia" w:hAnsiTheme="majorEastAsia" w:eastAsiaTheme="majorEastAsia" w:cstheme="majorEastAsia"/>
                <w:szCs w:val="21"/>
                <w:lang w:eastAsia="zh-CN"/>
              </w:rPr>
              <w:t>（</w:t>
            </w:r>
            <w:r>
              <w:rPr>
                <w:rFonts w:hint="eastAsia" w:asciiTheme="majorEastAsia" w:hAnsiTheme="majorEastAsia" w:eastAsiaTheme="majorEastAsia" w:cstheme="majorEastAsia"/>
                <w:szCs w:val="21"/>
                <w:lang w:val="en-US" w:eastAsia="zh-CN"/>
              </w:rPr>
              <w:t>根</w:t>
            </w:r>
            <w:r>
              <w:rPr>
                <w:rFonts w:hint="eastAsia" w:asciiTheme="majorEastAsia" w:hAnsiTheme="majorEastAsia" w:eastAsiaTheme="majorEastAsia" w:cstheme="majorEastAsia"/>
                <w:szCs w:val="21"/>
                <w:lang w:eastAsia="zh-CN"/>
              </w:rPr>
              <w:t>）</w:t>
            </w:r>
          </w:p>
        </w:tc>
        <w:tc>
          <w:tcPr>
            <w:tcW w:w="856" w:type="dxa"/>
            <w:vMerge w:val="continue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</w:p>
        </w:tc>
        <w:tc>
          <w:tcPr>
            <w:tcW w:w="1385" w:type="dxa"/>
            <w:vMerge w:val="continue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转换器</w:t>
            </w:r>
          </w:p>
        </w:tc>
        <w:tc>
          <w:tcPr>
            <w:tcW w:w="5103" w:type="dxa"/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VGA口转HDMI转换器（瘦客机带VGA或HDMI口可不买此转换器）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VGA口转HDMI转换器</w:t>
            </w:r>
          </w:p>
        </w:tc>
        <w:tc>
          <w:tcPr>
            <w:tcW w:w="987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2</w:t>
            </w:r>
            <w:r>
              <w:rPr>
                <w:rFonts w:hint="eastAsia" w:asciiTheme="majorEastAsia" w:hAnsiTheme="majorEastAsia" w:eastAsiaTheme="majorEastAsia" w:cstheme="majorEastAsia"/>
                <w:szCs w:val="21"/>
                <w:lang w:eastAsia="zh-CN"/>
              </w:rPr>
              <w:t>（</w:t>
            </w:r>
            <w:r>
              <w:rPr>
                <w:rFonts w:hint="eastAsia" w:asciiTheme="majorEastAsia" w:hAnsiTheme="majorEastAsia" w:eastAsiaTheme="majorEastAsia" w:cstheme="majorEastAsia"/>
                <w:szCs w:val="21"/>
                <w:lang w:val="en-US" w:eastAsia="zh-CN"/>
              </w:rPr>
              <w:t>套</w:t>
            </w:r>
            <w:r>
              <w:rPr>
                <w:rFonts w:hint="eastAsia" w:asciiTheme="majorEastAsia" w:hAnsiTheme="majorEastAsia" w:eastAsiaTheme="majorEastAsia" w:cstheme="majorEastAsia"/>
                <w:szCs w:val="21"/>
                <w:lang w:eastAsia="zh-CN"/>
              </w:rPr>
              <w:t>）</w:t>
            </w:r>
          </w:p>
        </w:tc>
        <w:tc>
          <w:tcPr>
            <w:tcW w:w="856" w:type="dxa"/>
            <w:vMerge w:val="continue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</w:p>
        </w:tc>
        <w:tc>
          <w:tcPr>
            <w:tcW w:w="1385" w:type="dxa"/>
            <w:vMerge w:val="continue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993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打印机</w:t>
            </w:r>
          </w:p>
        </w:tc>
        <w:tc>
          <w:tcPr>
            <w:tcW w:w="5103" w:type="dxa"/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Cs w:val="21"/>
              </w:rPr>
              <w:t>双面网络A4彩色激光打印机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Cs w:val="21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Cs w:val="21"/>
              </w:rPr>
              <w:t>33ppm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Cs w:val="21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Cs w:val="21"/>
                <w:lang w:val="en-US" w:eastAsia="zh-CN"/>
              </w:rPr>
              <w:t>首页打印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Cs w:val="21"/>
              </w:rPr>
              <w:t>小于8 秒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Cs w:val="21"/>
                <w:lang w:eastAsia="zh-CN"/>
              </w:rPr>
              <w:t>、</w:t>
            </w:r>
            <w:r>
              <w:rPr>
                <w:rFonts w:hint="eastAsia" w:asciiTheme="majorEastAsia" w:hAnsiTheme="majorEastAsia" w:eastAsiaTheme="majorEastAsia" w:cstheme="majorEastAsia"/>
                <w:color w:val="000000" w:themeColor="text1"/>
                <w:szCs w:val="21"/>
              </w:rPr>
              <w:t>50000 页/月，USB 2.0、1200 x 1200 dpi</w:t>
            </w:r>
          </w:p>
        </w:tc>
        <w:tc>
          <w:tcPr>
            <w:tcW w:w="1276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麻醉科使用</w:t>
            </w:r>
          </w:p>
        </w:tc>
        <w:tc>
          <w:tcPr>
            <w:tcW w:w="987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1</w:t>
            </w:r>
            <w:r>
              <w:rPr>
                <w:rFonts w:hint="eastAsia" w:asciiTheme="majorEastAsia" w:hAnsiTheme="majorEastAsia" w:eastAsiaTheme="majorEastAsia" w:cstheme="majorEastAsia"/>
                <w:szCs w:val="21"/>
                <w:lang w:eastAsia="zh-CN"/>
              </w:rPr>
              <w:t>（</w:t>
            </w:r>
            <w:r>
              <w:rPr>
                <w:rFonts w:hint="eastAsia" w:asciiTheme="majorEastAsia" w:hAnsiTheme="majorEastAsia" w:eastAsiaTheme="majorEastAsia" w:cstheme="majorEastAsia"/>
                <w:szCs w:val="21"/>
                <w:lang w:val="en-US" w:eastAsia="zh-CN"/>
              </w:rPr>
              <w:t>台</w:t>
            </w:r>
            <w:r>
              <w:rPr>
                <w:rFonts w:hint="eastAsia" w:asciiTheme="majorEastAsia" w:hAnsiTheme="majorEastAsia" w:eastAsiaTheme="majorEastAsia" w:cstheme="majorEastAsia"/>
                <w:szCs w:val="21"/>
                <w:lang w:eastAsia="zh-CN"/>
              </w:rPr>
              <w:t>）</w:t>
            </w:r>
          </w:p>
        </w:tc>
        <w:tc>
          <w:tcPr>
            <w:tcW w:w="856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</w:rPr>
            </w:pPr>
          </w:p>
        </w:tc>
        <w:tc>
          <w:tcPr>
            <w:tcW w:w="1385" w:type="dxa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  <w:lang w:val="en-US" w:eastAsia="zh-CN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  <w:lang w:val="en-US" w:eastAsia="zh-CN"/>
              </w:rPr>
              <w:t>惠普、联想、兄弟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</w:trPr>
        <w:tc>
          <w:tcPr>
            <w:tcW w:w="6096" w:type="dxa"/>
            <w:gridSpan w:val="2"/>
            <w:vAlign w:val="center"/>
          </w:tcPr>
          <w:p>
            <w:pPr>
              <w:jc w:val="left"/>
              <w:rPr>
                <w:rFonts w:hint="eastAsia" w:asciiTheme="majorEastAsia" w:hAnsiTheme="majorEastAsia" w:eastAsiaTheme="majorEastAsia" w:cstheme="majorEastAsia"/>
                <w:szCs w:val="21"/>
              </w:rPr>
            </w:pPr>
            <w:r>
              <w:rPr>
                <w:rFonts w:hint="eastAsia" w:asciiTheme="majorEastAsia" w:hAnsiTheme="majorEastAsia" w:eastAsiaTheme="majorEastAsia" w:cstheme="majorEastAsia"/>
                <w:szCs w:val="21"/>
              </w:rPr>
              <w:t>预算合计（不含网络施工布线）</w:t>
            </w:r>
          </w:p>
        </w:tc>
        <w:tc>
          <w:tcPr>
            <w:tcW w:w="4504" w:type="dxa"/>
            <w:gridSpan w:val="4"/>
            <w:vAlign w:val="center"/>
          </w:tcPr>
          <w:p>
            <w:pPr>
              <w:jc w:val="center"/>
              <w:rPr>
                <w:rFonts w:hint="eastAsia" w:asciiTheme="majorEastAsia" w:hAnsiTheme="majorEastAsia" w:eastAsiaTheme="majorEastAsia" w:cstheme="majorEastAsia"/>
                <w:szCs w:val="21"/>
                <w:lang w:val="en-US" w:eastAsia="zh-CN"/>
              </w:rPr>
            </w:pPr>
          </w:p>
        </w:tc>
      </w:tr>
    </w:tbl>
    <w:p>
      <w:pPr>
        <w:jc w:val="center"/>
        <w:rPr>
          <w:rFonts w:hint="eastAsia" w:asciiTheme="majorEastAsia" w:hAnsiTheme="majorEastAsia" w:eastAsiaTheme="majorEastAsia" w:cstheme="majorEastAsia"/>
          <w:szCs w:val="21"/>
        </w:rPr>
      </w:pPr>
    </w:p>
    <w:p>
      <w:pPr>
        <w:jc w:val="center"/>
        <w:rPr>
          <w:rFonts w:hint="eastAsia" w:asciiTheme="majorEastAsia" w:hAnsiTheme="majorEastAsia" w:eastAsiaTheme="majorEastAsia" w:cstheme="majorEastAsia"/>
          <w:szCs w:val="21"/>
        </w:rPr>
      </w:pPr>
    </w:p>
    <w:sectPr>
      <w:pgSz w:w="11906" w:h="16838"/>
      <w:pgMar w:top="851" w:right="1797" w:bottom="851" w:left="1797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EC6FF6"/>
    <w:rsid w:val="00033FA2"/>
    <w:rsid w:val="00106B41"/>
    <w:rsid w:val="00183D07"/>
    <w:rsid w:val="002713AC"/>
    <w:rsid w:val="002806C2"/>
    <w:rsid w:val="00434AE7"/>
    <w:rsid w:val="004C534E"/>
    <w:rsid w:val="005843C4"/>
    <w:rsid w:val="005F3897"/>
    <w:rsid w:val="0060376D"/>
    <w:rsid w:val="007077FD"/>
    <w:rsid w:val="007532DC"/>
    <w:rsid w:val="00796B9F"/>
    <w:rsid w:val="007C615C"/>
    <w:rsid w:val="007F2828"/>
    <w:rsid w:val="00860256"/>
    <w:rsid w:val="0087223F"/>
    <w:rsid w:val="00A1245C"/>
    <w:rsid w:val="00A66A86"/>
    <w:rsid w:val="00A86869"/>
    <w:rsid w:val="00AD238C"/>
    <w:rsid w:val="00C37E45"/>
    <w:rsid w:val="00DE085B"/>
    <w:rsid w:val="00E40B86"/>
    <w:rsid w:val="00E42C38"/>
    <w:rsid w:val="00EC4256"/>
    <w:rsid w:val="00EC6FF6"/>
    <w:rsid w:val="00FE25CC"/>
    <w:rsid w:val="23245A03"/>
    <w:rsid w:val="3B0A53FA"/>
    <w:rsid w:val="3CCA666D"/>
    <w:rsid w:val="3D8873EB"/>
    <w:rsid w:val="429E418D"/>
    <w:rsid w:val="543A7AA0"/>
    <w:rsid w:val="5E1A6B31"/>
    <w:rsid w:val="5EAB055D"/>
    <w:rsid w:val="63382D54"/>
    <w:rsid w:val="638B52B8"/>
    <w:rsid w:val="7444050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Theme="minorHAnsi" w:hAnsiTheme="minorHAnsi" w:eastAsiaTheme="minorEastAsia" w:cstheme="minorBidi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9" w:semiHidden="0" w:name="heading 1"/>
    <w:lsdException w:qFormat="1" w:uiPriority="9" w:name="heading 2"/>
    <w:lsdException w:qFormat="1" w:uiPriority="9" w:name="heading 3"/>
    <w:lsdException w:qFormat="1" w:uiPriority="9" w:name="heading 4"/>
    <w:lsdException w:qFormat="1" w:uiPriority="9" w:name="heading 5"/>
    <w:lsdException w:qFormat="1" w:uiPriority="9" w:name="heading 6"/>
    <w:lsdException w:qFormat="1" w:uiPriority="9" w:name="heading 7"/>
    <w:lsdException w:qFormat="1" w:uiPriority="9" w:name="heading 8"/>
    <w:lsdException w:qFormat="1" w:uiPriority="9" w:name="heading 9"/>
    <w:lsdException w:uiPriority="99" w:name="index 1"/>
    <w:lsdException w:uiPriority="99" w:name="index 2"/>
    <w:lsdException w:uiPriority="99" w:name="index 3"/>
    <w:lsdException w:uiPriority="99" w:name="index 4"/>
    <w:lsdException w:uiPriority="99" w:name="index 5"/>
    <w:lsdException w:uiPriority="99" w:name="index 6"/>
    <w:lsdException w:uiPriority="99" w:name="index 7"/>
    <w:lsdException w:uiPriority="99" w:name="index 8"/>
    <w:lsdException w:uiPriority="99" w:name="index 9"/>
    <w:lsdException w:uiPriority="39" w:name="toc 1"/>
    <w:lsdException w:uiPriority="39" w:name="toc 2"/>
    <w:lsdException w:uiPriority="39" w:name="toc 3"/>
    <w:lsdException w:uiPriority="39" w:name="toc 4"/>
    <w:lsdException w:uiPriority="39" w:name="toc 5"/>
    <w:lsdException w:uiPriority="39" w:name="toc 6"/>
    <w:lsdException w:uiPriority="39" w:name="toc 7"/>
    <w:lsdException w:uiPriority="39" w:name="toc 8"/>
    <w:lsdException w:uiPriority="39" w:name="toc 9"/>
    <w:lsdException w:uiPriority="99" w:name="Normal Indent"/>
    <w:lsdException w:uiPriority="99" w:name="footnote text"/>
    <w:lsdException w:uiPriority="99" w:name="annotation text"/>
    <w:lsdException w:qFormat="1" w:uiPriority="99" w:name="header"/>
    <w:lsdException w:qFormat="1" w:uiPriority="99" w:name="footer"/>
    <w:lsdException w:uiPriority="99" w:name="index heading"/>
    <w:lsdException w:qFormat="1" w:uiPriority="35" w:name="caption"/>
    <w:lsdException w:uiPriority="99" w:name="table of figures"/>
    <w:lsdException w:uiPriority="99" w:name="envelope address"/>
    <w:lsdException w:uiPriority="99" w:name="envelope return"/>
    <w:lsdException w:uiPriority="99" w:name="footnote reference"/>
    <w:lsdException w:uiPriority="99" w:name="annotation reference"/>
    <w:lsdException w:uiPriority="99" w:name="line number"/>
    <w:lsdException w:uiPriority="99" w:name="page number"/>
    <w:lsdException w:uiPriority="99" w:name="endnote reference"/>
    <w:lsdException w:uiPriority="99" w:name="endnote text"/>
    <w:lsdException w:uiPriority="99" w:name="table of authorities"/>
    <w:lsdException w:uiPriority="99" w:name="macro"/>
    <w:lsdException w:uiPriority="99" w:name="toa heading"/>
    <w:lsdException w:uiPriority="99" w:name="List"/>
    <w:lsdException w:uiPriority="99" w:name="List Bullet"/>
    <w:lsdException w:uiPriority="99" w:name="List Number"/>
    <w:lsdException w:uiPriority="99" w:name="List 2"/>
    <w:lsdException w:uiPriority="99" w:name="List 3"/>
    <w:lsdException w:uiPriority="99" w:name="List 4"/>
    <w:lsdException w:uiPriority="99" w:name="List 5"/>
    <w:lsdException w:uiPriority="99" w:name="List Bullet 2"/>
    <w:lsdException w:uiPriority="99" w:name="List Bullet 3"/>
    <w:lsdException w:uiPriority="99" w:name="List Bullet 4"/>
    <w:lsdException w:uiPriority="99" w:name="List Bullet 5"/>
    <w:lsdException w:uiPriority="99" w:name="List Number 2"/>
    <w:lsdException w:uiPriority="99" w:name="List Number 3"/>
    <w:lsdException w:uiPriority="99" w:name="List Number 4"/>
    <w:lsdException w:uiPriority="99" w:name="List Number 5"/>
    <w:lsdException w:qFormat="1" w:unhideWhenUsed="0" w:uiPriority="10" w:semiHidden="0" w:name="Title"/>
    <w:lsdException w:uiPriority="99" w:name="Closing"/>
    <w:lsdException w:uiPriority="99" w:name="Signature"/>
    <w:lsdException w:qFormat="1" w:uiPriority="1" w:name="Default Paragraph Font"/>
    <w:lsdException w:uiPriority="99" w:name="Body Text"/>
    <w:lsdException w:uiPriority="99" w:name="Body Text Indent"/>
    <w:lsdException w:uiPriority="99" w:name="List Continue"/>
    <w:lsdException w:uiPriority="99" w:name="List Continue 2"/>
    <w:lsdException w:uiPriority="99" w:name="List Continue 3"/>
    <w:lsdException w:uiPriority="99" w:name="List Continue 4"/>
    <w:lsdException w:uiPriority="99" w:name="List Continue 5"/>
    <w:lsdException w:uiPriority="99" w:name="Message Header"/>
    <w:lsdException w:qFormat="1" w:unhideWhenUsed="0" w:uiPriority="11" w:semiHidden="0" w:name="Subtitle"/>
    <w:lsdException w:uiPriority="99" w:name="Salutation"/>
    <w:lsdException w:uiPriority="99" w:name="Date"/>
    <w:lsdException w:uiPriority="99" w:name="Body Text First Indent"/>
    <w:lsdException w:uiPriority="99" w:name="Body Text First Indent 2"/>
    <w:lsdException w:uiPriority="99" w:name="Note Heading"/>
    <w:lsdException w:uiPriority="99" w:name="Body Text 2"/>
    <w:lsdException w:uiPriority="99" w:name="Body Text 3"/>
    <w:lsdException w:uiPriority="99" w:name="Body Text Indent 2"/>
    <w:lsdException w:uiPriority="99" w:name="Body Text Indent 3"/>
    <w:lsdException w:uiPriority="99" w:name="Block Text"/>
    <w:lsdException w:uiPriority="99" w:name="Hyperlink"/>
    <w:lsdException w:uiPriority="99" w:name="FollowedHyperlink"/>
    <w:lsdException w:qFormat="1" w:unhideWhenUsed="0" w:uiPriority="22" w:semiHidden="0" w:name="Strong"/>
    <w:lsdException w:qFormat="1" w:unhideWhenUsed="0" w:uiPriority="20" w:semiHidden="0" w:name="Emphasis"/>
    <w:lsdException w:uiPriority="99" w:name="Document Map"/>
    <w:lsdException w:uiPriority="99" w:name="Plain Text"/>
    <w:lsdException w:uiPriority="99" w:name="E-mail Signature"/>
    <w:lsdException w:uiPriority="99" w:name="Normal (Web)"/>
    <w:lsdException w:uiPriority="99" w:name="HTML Acronym"/>
    <w:lsdException w:uiPriority="99" w:name="HTML Address"/>
    <w:lsdException w:uiPriority="99" w:name="HTML Cite"/>
    <w:lsdException w:uiPriority="99" w:name="HTML Code"/>
    <w:lsdException w:uiPriority="99" w:name="HTML Definition"/>
    <w:lsdException w:uiPriority="99" w:name="HTML Keyboard"/>
    <w:lsdException w:uiPriority="99" w:name="HTML Preformatted"/>
    <w:lsdException w:uiPriority="99" w:name="HTML Sample"/>
    <w:lsdException w:uiPriority="99" w:name="HTML Typewriter"/>
    <w:lsdException w:uiPriority="99" w:name="HTML Variable"/>
    <w:lsdException w:qFormat="1" w:uiPriority="99" w:name="Normal Table"/>
    <w:lsdException w:uiPriority="99" w:name="annotation subject"/>
    <w:lsdException w:uiPriority="99" w:name="Table Simple 1"/>
    <w:lsdException w:uiPriority="99" w:name="Table Simple 2"/>
    <w:lsdException w:uiPriority="99" w:name="Table Simple 3"/>
    <w:lsdException w:uiPriority="99" w:name="Table Classic 1"/>
    <w:lsdException w:uiPriority="99" w:name="Table Classic 2"/>
    <w:lsdException w:uiPriority="99" w:name="Table Classic 3"/>
    <w:lsdException w:uiPriority="99" w:name="Table Classic 4"/>
    <w:lsdException w:uiPriority="99" w:name="Table Colorful 1"/>
    <w:lsdException w:uiPriority="99" w:name="Table Colorful 2"/>
    <w:lsdException w:uiPriority="99" w:name="Table Colorful 3"/>
    <w:lsdException w:uiPriority="99" w:name="Table Columns 1"/>
    <w:lsdException w:uiPriority="99" w:name="Table Columns 2"/>
    <w:lsdException w:uiPriority="99" w:name="Table Columns 3"/>
    <w:lsdException w:uiPriority="99" w:name="Table Columns 4"/>
    <w:lsdException w:uiPriority="99" w:name="Table Columns 5"/>
    <w:lsdException w:uiPriority="99" w:name="Table Grid 1"/>
    <w:lsdException w:uiPriority="99" w:name="Table Grid 2"/>
    <w:lsdException w:uiPriority="99" w:name="Table Grid 3"/>
    <w:lsdException w:uiPriority="99" w:name="Table Grid 4"/>
    <w:lsdException w:uiPriority="99" w:name="Table Grid 5"/>
    <w:lsdException w:uiPriority="99" w:name="Table Grid 6"/>
    <w:lsdException w:uiPriority="99" w:name="Table Grid 7"/>
    <w:lsdException w:uiPriority="99" w:name="Table Grid 8"/>
    <w:lsdException w:uiPriority="99" w:name="Table List 1"/>
    <w:lsdException w:uiPriority="99" w:name="Table List 2"/>
    <w:lsdException w:uiPriority="99" w:name="Table List 3"/>
    <w:lsdException w:uiPriority="99" w:name="Table List 4"/>
    <w:lsdException w:uiPriority="99" w:name="Table List 5"/>
    <w:lsdException w:uiPriority="99" w:name="Table List 6"/>
    <w:lsdException w:uiPriority="99" w:name="Table List 7"/>
    <w:lsdException w:uiPriority="99" w:name="Table List 8"/>
    <w:lsdException w:uiPriority="99" w:name="Table 3D effects 1"/>
    <w:lsdException w:uiPriority="99" w:name="Table 3D effects 2"/>
    <w:lsdException w:uiPriority="99" w:name="Table 3D effects 3"/>
    <w:lsdException w:uiPriority="99" w:name="Table Contemporary"/>
    <w:lsdException w:uiPriority="99" w:name="Table Elegant"/>
    <w:lsdException w:uiPriority="99" w:name="Table Professional"/>
    <w:lsdException w:uiPriority="99" w:name="Table Subtle 1"/>
    <w:lsdException w:uiPriority="99" w:name="Table Subtle 2"/>
    <w:lsdException w:uiPriority="99" w:name="Table Web 1"/>
    <w:lsdException w:uiPriority="99" w:name="Table Web 2"/>
    <w:lsdException w:uiPriority="99" w:name="Table Web 3"/>
    <w:lsdException w:uiPriority="99" w:name="Balloon Text"/>
    <w:lsdException w:unhideWhenUsed="0" w:uiPriority="59" w:semiHidden="0" w:name="Table Grid"/>
    <w:lsdException w:uiPriority="99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2"/>
      <w:lang w:val="en-US" w:eastAsia="zh-CN" w:bidi="ar-SA"/>
    </w:rPr>
  </w:style>
  <w:style w:type="character" w:default="1" w:styleId="5">
    <w:name w:val="Default Paragraph Font"/>
    <w:semiHidden/>
    <w:unhideWhenUsed/>
    <w:qFormat/>
    <w:uiPriority w:val="1"/>
  </w:style>
  <w:style w:type="table" w:default="1" w:styleId="4">
    <w:name w:val="Normal Table"/>
    <w:semiHidden/>
    <w:unhideWhenUsed/>
    <w:qFormat/>
    <w:uiPriority w:val="99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link w:val="7"/>
    <w:semiHidden/>
    <w:unhideWhenUsed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3">
    <w:name w:val="header"/>
    <w:basedOn w:val="1"/>
    <w:link w:val="6"/>
    <w:semiHidden/>
    <w:unhideWhenUsed/>
    <w:qFormat/>
    <w:uiPriority w:val="99"/>
    <w:pPr>
      <w:pBdr>
        <w:bottom w:val="single" w:color="auto" w:sz="6" w:space="1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6">
    <w:name w:val="页眉 Char"/>
    <w:basedOn w:val="5"/>
    <w:link w:val="3"/>
    <w:semiHidden/>
    <w:qFormat/>
    <w:uiPriority w:val="99"/>
    <w:rPr>
      <w:rFonts w:ascii="Calibri" w:hAnsi="Calibri" w:eastAsia="宋体" w:cs="Times New Roman"/>
      <w:sz w:val="18"/>
      <w:szCs w:val="18"/>
    </w:rPr>
  </w:style>
  <w:style w:type="character" w:customStyle="1" w:styleId="7">
    <w:name w:val="页脚 Char"/>
    <w:basedOn w:val="5"/>
    <w:link w:val="2"/>
    <w:semiHidden/>
    <w:qFormat/>
    <w:uiPriority w:val="99"/>
    <w:rPr>
      <w:rFonts w:ascii="Calibri" w:hAnsi="Calibri" w:eastAsia="宋体" w:cs="Times New Roman"/>
      <w:sz w:val="18"/>
      <w:szCs w:val="18"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Microsoft</Company>
  <Pages>1</Pages>
  <Words>126</Words>
  <Characters>719</Characters>
  <Lines>5</Lines>
  <Paragraphs>1</Paragraphs>
  <TotalTime>9</TotalTime>
  <ScaleCrop>false</ScaleCrop>
  <LinksUpToDate>false</LinksUpToDate>
  <CharactersWithSpaces>844</CharactersWithSpaces>
  <Application>WPS Office_11.1.0.10132_F1E327BC-269C-435d-A152-05C5408002CA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2020-11-19T08:20:00Z</dcterms:created>
  <dc:creator>PC</dc:creator>
  <cp:lastModifiedBy>Administrator</cp:lastModifiedBy>
  <cp:lastPrinted>2020-11-20T08:59:00Z</cp:lastPrinted>
  <dcterms:modified xsi:type="dcterms:W3CDTF">2020-11-24T08:20:59Z</dcterms:modified>
  <cp:revision>4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2052-11.1.0.10132</vt:lpwstr>
  </property>
</Properties>
</file>