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bCs/>
          <w:sz w:val="32"/>
          <w:szCs w:val="40"/>
        </w:rPr>
      </w:pPr>
      <w:bookmarkStart w:id="0" w:name="_GoBack"/>
      <w:bookmarkEnd w:id="0"/>
      <w:r>
        <w:rPr>
          <w:rFonts w:hint="eastAsia"/>
          <w:b/>
          <w:bCs/>
          <w:sz w:val="32"/>
          <w:szCs w:val="40"/>
        </w:rPr>
        <w:t>潜山市立医院紧密型医共体远程影像项目硬件清单</w:t>
      </w:r>
    </w:p>
    <w:tbl>
      <w:tblPr>
        <w:tblStyle w:val="8"/>
        <w:tblW w:w="4837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2"/>
        <w:gridCol w:w="1333"/>
        <w:gridCol w:w="1418"/>
        <w:gridCol w:w="9505"/>
        <w:gridCol w:w="7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center"/>
              <w:rPr>
                <w:rFonts w:ascii="Times New Roman" w:hAnsi="Times New Roman" w:cs="Times New Roman" w:eastAsiaTheme="minorEastAsia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center"/>
              <w:rPr>
                <w:rFonts w:ascii="Times New Roman" w:hAnsi="Times New Roman" w:cs="Times New Roman" w:eastAsiaTheme="minorEastAsia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sz w:val="21"/>
                <w:szCs w:val="21"/>
              </w:rPr>
              <w:t>名称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center"/>
              <w:rPr>
                <w:rFonts w:ascii="Times New Roman" w:hAnsi="Times New Roman" w:cs="Times New Roman" w:eastAsiaTheme="minorEastAsia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sz w:val="21"/>
                <w:szCs w:val="21"/>
              </w:rPr>
              <w:t>功能</w:t>
            </w:r>
          </w:p>
        </w:tc>
        <w:tc>
          <w:tcPr>
            <w:tcW w:w="3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center"/>
              <w:rPr>
                <w:rFonts w:ascii="Times New Roman" w:hAnsi="Times New Roman" w:cs="Times New Roman" w:eastAsiaTheme="minorEastAsia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sz w:val="21"/>
                <w:szCs w:val="21"/>
              </w:rPr>
              <w:t>参数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center"/>
              <w:rPr>
                <w:rFonts w:ascii="Times New Roman" w:hAnsi="Times New Roman" w:cs="Times New Roman" w:eastAsiaTheme="minorEastAsia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sz w:val="21"/>
                <w:szCs w:val="21"/>
              </w:rPr>
              <w:t>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1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center"/>
              <w:rPr>
                <w:rFonts w:ascii="Times New Roman" w:hAnsi="Times New Roman" w:cs="Times New Roman" w:eastAsiaTheme="minorEastAsia"/>
                <w:color w:val="FF0000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防火墙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影像数据管理服务器安全防护</w:t>
            </w:r>
          </w:p>
        </w:tc>
        <w:tc>
          <w:tcPr>
            <w:tcW w:w="3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lef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性能要求：≥6个千兆电口，≥4个SFP插槽（不含接口模块）,防火墙吞吐≥4G，并发连接≥200万，每秒新建连接≥25000</w:t>
            </w: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。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 xml:space="preserve">                 </w:t>
            </w:r>
          </w:p>
          <w:p>
            <w:pPr>
              <w:pStyle w:val="7"/>
              <w:widowControl/>
              <w:ind w:firstLine="0"/>
              <w:jc w:val="lef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功能要求：</w:t>
            </w:r>
          </w:p>
          <w:p>
            <w:pPr>
              <w:pStyle w:val="7"/>
              <w:widowControl/>
              <w:ind w:firstLine="0"/>
              <w:jc w:val="lef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1.产品由专用的硬件平台、安全操作系统及功能软件构成。设备采用自主知识产权的专用安全操作系统</w:t>
            </w: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；</w:t>
            </w:r>
          </w:p>
          <w:p>
            <w:pPr>
              <w:pStyle w:val="7"/>
              <w:widowControl/>
              <w:ind w:firstLine="0"/>
              <w:jc w:val="lef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2.支持智能DNS功能；支持DNS Doctoring功能（提供截图）；</w:t>
            </w:r>
          </w:p>
          <w:p>
            <w:pPr>
              <w:pStyle w:val="7"/>
              <w:widowControl/>
              <w:ind w:firstLine="0"/>
              <w:jc w:val="lef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3.支持监控功能，显示最近被拦截的IP、地址对象及应用的节点信息（提供截图）；</w:t>
            </w:r>
          </w:p>
          <w:p>
            <w:pPr>
              <w:pStyle w:val="7"/>
              <w:widowControl/>
              <w:ind w:firstLine="0"/>
              <w:jc w:val="lef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4.访问控制策略执行动作支持允许、禁止及认证，对符合条件的流量进行Web认证（提供截图）；支持针对地理位置特征库的访问控制（提供截图）</w:t>
            </w: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；</w:t>
            </w:r>
          </w:p>
          <w:p>
            <w:pPr>
              <w:pStyle w:val="7"/>
              <w:widowControl/>
              <w:ind w:firstLine="0"/>
              <w:jc w:val="lef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资质</w:t>
            </w: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文件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：</w:t>
            </w:r>
          </w:p>
          <w:p>
            <w:pPr>
              <w:pStyle w:val="7"/>
              <w:widowControl/>
              <w:ind w:firstLine="0"/>
              <w:jc w:val="lef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1.提供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原厂商国家级网络安全应急服务支撑单位</w:t>
            </w: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证书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、TL9000认证证书</w:t>
            </w: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、信息技术产品安全测评证书EAL4+；</w:t>
            </w:r>
          </w:p>
          <w:p>
            <w:pPr>
              <w:pStyle w:val="7"/>
              <w:widowControl/>
              <w:ind w:firstLine="0"/>
              <w:jc w:val="lef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2.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投标时提供原厂商针对本项目的3年售后服务承诺函原件；中标后合同签订前提供原厂商针对本项目的授权函原件。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1台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2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center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网闸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影像数据管理服务器安全防护</w:t>
            </w:r>
          </w:p>
        </w:tc>
        <w:tc>
          <w:tcPr>
            <w:tcW w:w="3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性能要求：标准2U机架式结构；接口配置:内外端机双侧液晶屏；内端机≥4个10/100/1000Base-T接口，1个扩展槽位；外端机≥4个10/100/1000Base-T接口，1个扩展槽位；网络吞吐量：≥400Mbps；并发连接数：≥8万；内外端机各≥1TB硬盘。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功能要求：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1.“2+1”系统结构，内外端机之间采用专用硬件和专用协议进行连接</w:t>
            </w:r>
            <w:r>
              <w:rPr>
                <w:rFonts w:hint="eastAsia" w:ascii="Times New Roman" w:hAnsi="Times New Roman" w:cs="Times New Roman"/>
                <w:szCs w:val="21"/>
              </w:rPr>
              <w:t>；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2.支持访问控制日志记录和告警功能，支持最大活动会话数的控制和统计，支持IPV6扩展头的安全设置（提供功能截图）</w:t>
            </w:r>
            <w:r>
              <w:rPr>
                <w:rFonts w:hint="eastAsia" w:ascii="Times New Roman" w:hAnsi="Times New Roman" w:cs="Times New Roman"/>
                <w:szCs w:val="21"/>
              </w:rPr>
              <w:t>；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内置HTTP安全模块，支持URL过滤引擎、内容过滤引擎、文件过滤引擎、病毒过滤引擎、网页过滤引擎安全防护及单独启停控制（提供功能截图）；内置FTP安全模块，支持内容过滤引擎、文件过滤引擎、病毒过滤引擎安全防护及单独启停控制（提供功能截图）</w:t>
            </w:r>
            <w:r>
              <w:rPr>
                <w:rFonts w:hint="eastAsia" w:ascii="Times New Roman" w:hAnsi="Times New Roman" w:cs="Times New Roman"/>
                <w:szCs w:val="21"/>
              </w:rPr>
              <w:t>；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4.内置数据库安全模块，支持内容过滤引擎，能够对数据库用户名、命令、关键字等内容进行管控，支持允许、阻断、告警三种处理方式；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5.支持自动读取数据库表名和字段名，无需手动录入表名和字段名，降低配置复杂度（提供功能截图）</w:t>
            </w:r>
            <w:r>
              <w:rPr>
                <w:rFonts w:hint="eastAsia" w:ascii="Times New Roman" w:hAnsi="Times New Roman" w:cs="Times New Roman"/>
                <w:szCs w:val="21"/>
              </w:rPr>
              <w:t>。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资质文件</w:t>
            </w:r>
            <w:r>
              <w:rPr>
                <w:rFonts w:ascii="Times New Roman" w:hAnsi="Times New Roman" w:cs="Times New Roman"/>
                <w:szCs w:val="21"/>
              </w:rPr>
              <w:t>：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1. 提供</w:t>
            </w:r>
            <w:r>
              <w:rPr>
                <w:rFonts w:ascii="Times New Roman" w:hAnsi="Times New Roman" w:cs="Times New Roman"/>
                <w:szCs w:val="21"/>
              </w:rPr>
              <w:t>原厂商国家级网络安全应急服务支撑单位</w:t>
            </w:r>
            <w:r>
              <w:rPr>
                <w:rFonts w:hint="eastAsia" w:ascii="Times New Roman" w:hAnsi="Times New Roman" w:cs="Times New Roman"/>
                <w:szCs w:val="21"/>
              </w:rPr>
              <w:t>证书</w:t>
            </w:r>
            <w:r>
              <w:rPr>
                <w:rFonts w:ascii="Times New Roman" w:hAnsi="Times New Roman" w:cs="Times New Roman"/>
                <w:szCs w:val="21"/>
              </w:rPr>
              <w:t>、TL9000认证证书</w:t>
            </w:r>
            <w:r>
              <w:rPr>
                <w:rFonts w:hint="eastAsia" w:ascii="Times New Roman" w:hAnsi="Times New Roman" w:cs="Times New Roman"/>
                <w:szCs w:val="21"/>
              </w:rPr>
              <w:t>、公</w:t>
            </w:r>
            <w:r>
              <w:rPr>
                <w:rFonts w:ascii="Times New Roman" w:hAnsi="Times New Roman" w:cs="Times New Roman"/>
                <w:szCs w:val="21"/>
              </w:rPr>
              <w:t>安部计算机信息系统安全专用产品销售许可证书（增强级）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2.</w:t>
            </w:r>
            <w:r>
              <w:rPr>
                <w:rFonts w:ascii="Times New Roman" w:hAnsi="Times New Roman" w:cs="Times New Roman"/>
                <w:szCs w:val="21"/>
              </w:rPr>
              <w:t>提供公安部GB/T28181-2016《公共安全视频监控联网系统信息传输、交换、控制技术要求》检测报告</w:t>
            </w:r>
          </w:p>
          <w:p>
            <w:pPr>
              <w:pStyle w:val="7"/>
              <w:widowControl/>
              <w:ind w:firstLine="0"/>
              <w:jc w:val="lef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3. 投标时提供原厂商针对本项目的3年售后服务承诺函原件；中标后合同签订前提供原厂商针对本项目的授权函原件。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1台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3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乡镇医院防火墙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乡镇医院前置服务器安全防护</w:t>
            </w:r>
          </w:p>
        </w:tc>
        <w:tc>
          <w:tcPr>
            <w:tcW w:w="3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1.性能要求：≥5个千兆电口，≥1个Combo口；防火墙吞吐≥1G，并发连接≥30万，每秒新建连接≥3000</w:t>
            </w:r>
            <w:r>
              <w:rPr>
                <w:rFonts w:hint="eastAsia" w:ascii="Times New Roman" w:hAnsi="Times New Roman" w:cs="Times New Roman"/>
                <w:szCs w:val="21"/>
              </w:rPr>
              <w:t>；</w:t>
            </w:r>
          </w:p>
          <w:p>
            <w:pPr>
              <w:pStyle w:val="7"/>
              <w:widowControl/>
              <w:ind w:firstLine="0"/>
              <w:jc w:val="lef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2.为保证系统兼容性与稳定性，乡镇医院防火墙与本清单第</w:t>
            </w: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条“防火墙”须为同一品牌</w:t>
            </w: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。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8台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系统集成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技术服务</w:t>
            </w:r>
          </w:p>
        </w:tc>
        <w:tc>
          <w:tcPr>
            <w:tcW w:w="3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一、医院本部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1.为保证实施过程中不影响医院正常业务的开展，在项目实施前要求对医共体相关业务（包括医疗业务服务应用及公共卫生业务服务等）的数据备份，完整保存数据库与数据文件，确保业务数据准确无丢失；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</w:rPr>
              <w:t>完成与医共体远程影像系统的对接，及时处理实施过程中出现的故障，保证业务正常运行；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hint="eastAsia" w:ascii="Times New Roman" w:hAnsi="Times New Roman" w:cs="Times New Roman"/>
                <w:szCs w:val="21"/>
              </w:rPr>
              <w:t>.按要求完成防火墙和网闸的上架、安装及调试工作，包括基本参数的配置和安全策略的配置等。同时为保证整体系统的安全性，要求调试后进行安全防护能力测试；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二、乡镇医院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1.中标单位应自行与各乡镇医院联系，完成项目所涉及的所有乡镇防火墙的安装及调试工作；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2.对各乡镇医院内所有终端进行逐一调试，保证乡镇医院能正常使用医共体远程影像系统；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3.对实施过程中出现的问题及时进行处理，保证业务正常运行。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ind w:firstLine="0"/>
              <w:jc w:val="center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</w:rPr>
              <w:t>1项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CA0E19"/>
    <w:rsid w:val="000A558B"/>
    <w:rsid w:val="001A1B34"/>
    <w:rsid w:val="0022464E"/>
    <w:rsid w:val="002C4C6D"/>
    <w:rsid w:val="002C5BAE"/>
    <w:rsid w:val="0034161C"/>
    <w:rsid w:val="003826E4"/>
    <w:rsid w:val="00396C18"/>
    <w:rsid w:val="003A3C9F"/>
    <w:rsid w:val="004047A9"/>
    <w:rsid w:val="00431820"/>
    <w:rsid w:val="00442EEC"/>
    <w:rsid w:val="005508F6"/>
    <w:rsid w:val="00600C02"/>
    <w:rsid w:val="00626057"/>
    <w:rsid w:val="006D0476"/>
    <w:rsid w:val="007D747A"/>
    <w:rsid w:val="008634BF"/>
    <w:rsid w:val="008878CA"/>
    <w:rsid w:val="00A232FF"/>
    <w:rsid w:val="00AC7170"/>
    <w:rsid w:val="00AC7198"/>
    <w:rsid w:val="00B10A0D"/>
    <w:rsid w:val="00D02888"/>
    <w:rsid w:val="00D65A63"/>
    <w:rsid w:val="00E02461"/>
    <w:rsid w:val="00E609BD"/>
    <w:rsid w:val="00EB2726"/>
    <w:rsid w:val="00F54E15"/>
    <w:rsid w:val="00FA34A3"/>
    <w:rsid w:val="04041B1D"/>
    <w:rsid w:val="04D87168"/>
    <w:rsid w:val="06BC112B"/>
    <w:rsid w:val="07527F00"/>
    <w:rsid w:val="082501D9"/>
    <w:rsid w:val="08FE70BA"/>
    <w:rsid w:val="0EBA180D"/>
    <w:rsid w:val="0FD36A47"/>
    <w:rsid w:val="111E73B1"/>
    <w:rsid w:val="166C2586"/>
    <w:rsid w:val="18841EC7"/>
    <w:rsid w:val="191A5527"/>
    <w:rsid w:val="19CC2634"/>
    <w:rsid w:val="1E2251D3"/>
    <w:rsid w:val="1E971259"/>
    <w:rsid w:val="1F406DBB"/>
    <w:rsid w:val="21FF4E51"/>
    <w:rsid w:val="22890B9A"/>
    <w:rsid w:val="23053514"/>
    <w:rsid w:val="26AC1845"/>
    <w:rsid w:val="26CA0E19"/>
    <w:rsid w:val="26D860CE"/>
    <w:rsid w:val="272B76D2"/>
    <w:rsid w:val="27AC54CF"/>
    <w:rsid w:val="2A6C3B97"/>
    <w:rsid w:val="2AB9606D"/>
    <w:rsid w:val="2CC458C0"/>
    <w:rsid w:val="2D09713C"/>
    <w:rsid w:val="2DEA3787"/>
    <w:rsid w:val="2DF9198A"/>
    <w:rsid w:val="2E1A4D6F"/>
    <w:rsid w:val="3091205A"/>
    <w:rsid w:val="317E071E"/>
    <w:rsid w:val="33303DB1"/>
    <w:rsid w:val="34C97A20"/>
    <w:rsid w:val="35A24281"/>
    <w:rsid w:val="396B2C49"/>
    <w:rsid w:val="3ADD2FC6"/>
    <w:rsid w:val="3BF55056"/>
    <w:rsid w:val="40E910EB"/>
    <w:rsid w:val="4116024C"/>
    <w:rsid w:val="45D72776"/>
    <w:rsid w:val="470272FA"/>
    <w:rsid w:val="4AA923EE"/>
    <w:rsid w:val="4B3D5AB5"/>
    <w:rsid w:val="4B80740B"/>
    <w:rsid w:val="4C796FB7"/>
    <w:rsid w:val="4D6A2AA9"/>
    <w:rsid w:val="4E334573"/>
    <w:rsid w:val="4E550B84"/>
    <w:rsid w:val="50105957"/>
    <w:rsid w:val="50EB0296"/>
    <w:rsid w:val="52F46E7C"/>
    <w:rsid w:val="56FD6260"/>
    <w:rsid w:val="57D5186C"/>
    <w:rsid w:val="5A3E053A"/>
    <w:rsid w:val="5B440457"/>
    <w:rsid w:val="5D9C416D"/>
    <w:rsid w:val="5DB456DB"/>
    <w:rsid w:val="63234C13"/>
    <w:rsid w:val="649B0633"/>
    <w:rsid w:val="64B5661F"/>
    <w:rsid w:val="6B37490A"/>
    <w:rsid w:val="6E9B3944"/>
    <w:rsid w:val="70293716"/>
    <w:rsid w:val="70C8361F"/>
    <w:rsid w:val="71DC0F74"/>
    <w:rsid w:val="71EE0D2D"/>
    <w:rsid w:val="726526D6"/>
    <w:rsid w:val="78DA6B1D"/>
    <w:rsid w:val="7C774E19"/>
    <w:rsid w:val="7D535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4"/>
    <w:qFormat/>
    <w:uiPriority w:val="99"/>
    <w:pPr>
      <w:spacing w:after="120"/>
      <w:ind w:left="420" w:leftChars="200" w:firstLine="420" w:firstLineChars="200"/>
    </w:pPr>
    <w:rPr>
      <w:sz w:val="21"/>
    </w:r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楷体_GB2312" w:eastAsia="楷体_GB2312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ind w:firstLine="420"/>
    </w:pPr>
    <w:rPr>
      <w:rFonts w:ascii="仿宋" w:hAnsi="仿宋" w:eastAsia="仿宋"/>
      <w:sz w:val="24"/>
      <w:szCs w:val="32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正文文本首行缩进 2 字符"/>
    <w:basedOn w:val="10"/>
    <w:link w:val="2"/>
    <w:qFormat/>
    <w:uiPriority w:val="99"/>
    <w:rPr>
      <w:rFonts w:ascii="楷体_GB2312" w:eastAsia="楷体_GB2312" w:hAnsiTheme="minorHAnsi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240</Words>
  <Characters>1372</Characters>
  <Lines>11</Lines>
  <Paragraphs>3</Paragraphs>
  <TotalTime>74</TotalTime>
  <ScaleCrop>false</ScaleCrop>
  <LinksUpToDate>false</LinksUpToDate>
  <CharactersWithSpaces>1609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2020-11-03T04:53:00Z</dcterms:created>
  <dc:creator>Administrator</dc:creator>
  <cp:lastModifiedBy>Administrator</cp:lastModifiedBy>
  <dcterms:modified xsi:type="dcterms:W3CDTF">2020-11-19T08:14:48Z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